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ED" w:rsidRDefault="00916CED" w:rsidP="00446FFD">
      <w:pPr>
        <w:spacing w:line="24" w:lineRule="atLeast"/>
        <w:ind w:firstLine="360"/>
        <w:jc w:val="both"/>
        <w:rPr>
          <w:rFonts w:ascii="Times New Roman" w:hAnsi="Times New Roman" w:cs="Times New Roman"/>
          <w:sz w:val="24"/>
          <w:szCs w:val="24"/>
        </w:rPr>
      </w:pPr>
    </w:p>
    <w:p w:rsidR="004341B7" w:rsidRPr="00006E71" w:rsidRDefault="00483507" w:rsidP="00446FFD">
      <w:pPr>
        <w:spacing w:line="24" w:lineRule="atLeast"/>
        <w:ind w:firstLine="360"/>
        <w:jc w:val="both"/>
        <w:rPr>
          <w:rFonts w:ascii="Times New Roman" w:hAnsi="Times New Roman" w:cs="Times New Roman"/>
          <w:sz w:val="24"/>
          <w:szCs w:val="24"/>
        </w:rPr>
      </w:pPr>
      <w:r w:rsidRPr="00006E71">
        <w:rPr>
          <w:rFonts w:ascii="Times New Roman" w:hAnsi="Times New Roman" w:cs="Times New Roman"/>
          <w:sz w:val="24"/>
          <w:szCs w:val="24"/>
        </w:rPr>
        <w:t xml:space="preserve">W związku z ogłoszonym wyrokiem Krajowej Izby Odwoławczej z dn. 20 kwietnia 2017r. Sygnatura akt: KIO 641/17 dotyczącym przetargu, którego przedmiotem jest „Modernizacja oczyszczalni ścieków wraz z budową sieci </w:t>
      </w:r>
      <w:r w:rsidR="000125C6" w:rsidRPr="00006E71">
        <w:rPr>
          <w:rFonts w:ascii="Times New Roman" w:hAnsi="Times New Roman" w:cs="Times New Roman"/>
          <w:sz w:val="24"/>
          <w:szCs w:val="24"/>
        </w:rPr>
        <w:t>kanalizacja sanitarnej w m. Parczew” Zamawiający informuje o n/w zmianach w dokumentach przetargowych:</w:t>
      </w:r>
    </w:p>
    <w:p w:rsidR="000125C6" w:rsidRPr="00006E71" w:rsidRDefault="000125C6" w:rsidP="00446FFD">
      <w:pPr>
        <w:pStyle w:val="Akapitzlist"/>
        <w:numPr>
          <w:ilvl w:val="0"/>
          <w:numId w:val="1"/>
        </w:numPr>
        <w:spacing w:line="24" w:lineRule="atLeast"/>
        <w:rPr>
          <w:rFonts w:ascii="Times New Roman" w:hAnsi="Times New Roman" w:cs="Times New Roman"/>
          <w:sz w:val="24"/>
          <w:szCs w:val="24"/>
        </w:rPr>
      </w:pPr>
      <w:r w:rsidRPr="00006E71">
        <w:rPr>
          <w:rFonts w:ascii="Times New Roman" w:hAnsi="Times New Roman" w:cs="Times New Roman"/>
          <w:sz w:val="24"/>
          <w:szCs w:val="24"/>
        </w:rPr>
        <w:t xml:space="preserve">Usunięto znaki towarowe ujęte w projekcie technologicznym, załącznikach </w:t>
      </w:r>
      <w:r w:rsidR="00637A50" w:rsidRPr="00006E71">
        <w:rPr>
          <w:rFonts w:ascii="Times New Roman" w:hAnsi="Times New Roman" w:cs="Times New Roman"/>
          <w:sz w:val="24"/>
          <w:szCs w:val="24"/>
        </w:rPr>
        <w:t>nr 12 i 12a oraz Specyfikacji Technicznej wykonania i Odbioru Robót.</w:t>
      </w:r>
    </w:p>
    <w:p w:rsidR="000125C6" w:rsidRPr="000157F9" w:rsidRDefault="000125C6" w:rsidP="000157F9">
      <w:pPr>
        <w:pStyle w:val="Tekstpodstawowy"/>
        <w:numPr>
          <w:ilvl w:val="0"/>
          <w:numId w:val="1"/>
        </w:numPr>
        <w:spacing w:line="24" w:lineRule="atLeast"/>
        <w:rPr>
          <w:rFonts w:ascii="Times New Roman" w:hAnsi="Times New Roman"/>
          <w:sz w:val="24"/>
          <w:szCs w:val="24"/>
        </w:rPr>
      </w:pPr>
      <w:r w:rsidRPr="00006E71">
        <w:rPr>
          <w:rFonts w:ascii="Times New Roman" w:hAnsi="Times New Roman"/>
          <w:sz w:val="24"/>
          <w:szCs w:val="24"/>
        </w:rPr>
        <w:t>Sformułowano opis przedmiotu zamówienia w sposób jednoznaczny</w:t>
      </w:r>
      <w:r w:rsidRPr="00006E71">
        <w:rPr>
          <w:rFonts w:ascii="Times New Roman" w:hAnsi="Times New Roman"/>
          <w:sz w:val="24"/>
          <w:szCs w:val="24"/>
          <w:lang w:val="pl-PL"/>
        </w:rPr>
        <w:t xml:space="preserve"> oraz przedstawiono jedno</w:t>
      </w:r>
      <w:r w:rsidR="003E4F2B" w:rsidRPr="00006E71">
        <w:rPr>
          <w:rFonts w:ascii="Times New Roman" w:hAnsi="Times New Roman"/>
          <w:sz w:val="24"/>
          <w:szCs w:val="24"/>
          <w:lang w:val="pl-PL"/>
        </w:rPr>
        <w:t>z</w:t>
      </w:r>
      <w:r w:rsidRPr="00006E71">
        <w:rPr>
          <w:rFonts w:ascii="Times New Roman" w:hAnsi="Times New Roman"/>
          <w:sz w:val="24"/>
          <w:szCs w:val="24"/>
          <w:lang w:val="pl-PL"/>
        </w:rPr>
        <w:t>nac</w:t>
      </w:r>
      <w:r w:rsidR="003E4F2B" w:rsidRPr="00006E71">
        <w:rPr>
          <w:rFonts w:ascii="Times New Roman" w:hAnsi="Times New Roman"/>
          <w:sz w:val="24"/>
          <w:szCs w:val="24"/>
          <w:lang w:val="pl-PL"/>
        </w:rPr>
        <w:t>z</w:t>
      </w:r>
      <w:r w:rsidRPr="00006E71">
        <w:rPr>
          <w:rFonts w:ascii="Times New Roman" w:hAnsi="Times New Roman"/>
          <w:sz w:val="24"/>
          <w:szCs w:val="24"/>
          <w:lang w:val="pl-PL"/>
        </w:rPr>
        <w:t xml:space="preserve">ne wartości graniczne w jakich </w:t>
      </w:r>
      <w:r w:rsidR="003E4F2B" w:rsidRPr="00006E71">
        <w:rPr>
          <w:rFonts w:ascii="Times New Roman" w:hAnsi="Times New Roman"/>
          <w:sz w:val="24"/>
          <w:szCs w:val="24"/>
          <w:lang w:val="pl-PL"/>
        </w:rPr>
        <w:t>Zamawiający</w:t>
      </w:r>
      <w:r w:rsidRPr="00006E71">
        <w:rPr>
          <w:rFonts w:ascii="Times New Roman" w:hAnsi="Times New Roman"/>
          <w:sz w:val="24"/>
          <w:szCs w:val="24"/>
          <w:lang w:val="pl-PL"/>
        </w:rPr>
        <w:t xml:space="preserve"> uzna za spełnienie </w:t>
      </w:r>
      <w:r w:rsidR="003E4F2B" w:rsidRPr="00006E71">
        <w:rPr>
          <w:rFonts w:ascii="Times New Roman" w:hAnsi="Times New Roman"/>
          <w:sz w:val="24"/>
          <w:szCs w:val="24"/>
          <w:lang w:val="pl-PL"/>
        </w:rPr>
        <w:t xml:space="preserve">równoważności </w:t>
      </w:r>
      <w:proofErr w:type="spellStart"/>
      <w:r w:rsidR="003E4F2B" w:rsidRPr="00006E71">
        <w:rPr>
          <w:rFonts w:ascii="Times New Roman" w:hAnsi="Times New Roman"/>
          <w:sz w:val="24"/>
          <w:szCs w:val="24"/>
          <w:lang w:val="pl-PL"/>
        </w:rPr>
        <w:t>tj</w:t>
      </w:r>
      <w:proofErr w:type="spellEnd"/>
      <w:r w:rsidR="003E4F2B" w:rsidRPr="00006E71">
        <w:rPr>
          <w:rFonts w:ascii="Times New Roman" w:hAnsi="Times New Roman"/>
          <w:sz w:val="24"/>
          <w:szCs w:val="24"/>
          <w:lang w:val="pl-PL"/>
        </w:rPr>
        <w:t xml:space="preserve">: </w:t>
      </w:r>
      <w:r w:rsidRPr="00006E71">
        <w:rPr>
          <w:rFonts w:ascii="Times New Roman" w:hAnsi="Times New Roman"/>
          <w:sz w:val="24"/>
          <w:szCs w:val="24"/>
        </w:rPr>
        <w:t>Zamawiający dopuszcza możliwość złożenia ofert równoważnych w zakresie zaproponowanych materiałów i urządzeń wskazanych w dokumentacji projektowej, specyfikacji technicznej wykonania i odbioru robót oraz w przedmiarach robót. Zamawiający dopuszcza ujęcie w ofercie, a następnie zastosowanie innych materiałów i urządzeń niż podane w dokumentacji projektowej pod warunkiem zapewnienia parametrów nie gorszych niż określonych w dokumentacji projektowej oraz wymienionych poniżej. Zamawiający wymaga złożenia stosownych dokumentów</w:t>
      </w:r>
      <w:r w:rsidR="000157F9">
        <w:rPr>
          <w:rFonts w:ascii="Times New Roman" w:hAnsi="Times New Roman"/>
          <w:sz w:val="24"/>
          <w:szCs w:val="24"/>
          <w:lang w:val="pl-PL"/>
        </w:rPr>
        <w:t xml:space="preserve"> ( kart katalogowych wraz z informacją o aktualnym</w:t>
      </w:r>
      <w:r w:rsidR="000157F9" w:rsidRPr="000157F9">
        <w:rPr>
          <w:rFonts w:ascii="Times New Roman" w:hAnsi="Times New Roman"/>
          <w:sz w:val="24"/>
          <w:szCs w:val="24"/>
          <w:lang w:val="pl-PL"/>
        </w:rPr>
        <w:t xml:space="preserve"> miejsc</w:t>
      </w:r>
      <w:r w:rsidR="000157F9">
        <w:rPr>
          <w:rFonts w:ascii="Times New Roman" w:hAnsi="Times New Roman"/>
          <w:sz w:val="24"/>
          <w:szCs w:val="24"/>
          <w:lang w:val="pl-PL"/>
        </w:rPr>
        <w:t>u</w:t>
      </w:r>
      <w:r w:rsidR="000157F9" w:rsidRPr="000157F9">
        <w:rPr>
          <w:rFonts w:ascii="Times New Roman" w:hAnsi="Times New Roman"/>
          <w:sz w:val="24"/>
          <w:szCs w:val="24"/>
          <w:lang w:val="pl-PL"/>
        </w:rPr>
        <w:t xml:space="preserve"> funkcjonowania urządzenia z podaniem okresu pracy urządzenia – min. roczny</w:t>
      </w:r>
      <w:r w:rsidR="000157F9">
        <w:rPr>
          <w:rFonts w:ascii="Times New Roman" w:hAnsi="Times New Roman"/>
          <w:sz w:val="24"/>
          <w:szCs w:val="24"/>
          <w:lang w:val="pl-PL"/>
        </w:rPr>
        <w:t xml:space="preserve"> oraz nazwę</w:t>
      </w:r>
      <w:r w:rsidR="000157F9" w:rsidRPr="000157F9">
        <w:rPr>
          <w:rFonts w:ascii="Times New Roman" w:hAnsi="Times New Roman"/>
          <w:sz w:val="24"/>
          <w:szCs w:val="24"/>
          <w:lang w:val="pl-PL"/>
        </w:rPr>
        <w:t xml:space="preserve"> zamawiającego lub użyt</w:t>
      </w:r>
      <w:r w:rsidR="000157F9">
        <w:rPr>
          <w:rFonts w:ascii="Times New Roman" w:hAnsi="Times New Roman"/>
          <w:sz w:val="24"/>
          <w:szCs w:val="24"/>
          <w:lang w:val="pl-PL"/>
        </w:rPr>
        <w:t>kownika, adres, dane kontaktowe</w:t>
      </w:r>
      <w:r w:rsidR="000157F9" w:rsidRPr="000157F9">
        <w:rPr>
          <w:rFonts w:ascii="Times New Roman" w:hAnsi="Times New Roman"/>
          <w:sz w:val="24"/>
          <w:szCs w:val="24"/>
          <w:lang w:val="pl-PL"/>
        </w:rPr>
        <w:t xml:space="preserve"> minimum 2 lokalizacje na każde urządzenie w ciągu maksimum 10 lat</w:t>
      </w:r>
      <w:r w:rsidR="000157F9">
        <w:rPr>
          <w:rFonts w:ascii="Times New Roman" w:hAnsi="Times New Roman"/>
          <w:sz w:val="24"/>
          <w:szCs w:val="24"/>
          <w:lang w:val="pl-PL"/>
        </w:rPr>
        <w:t xml:space="preserve"> –zał. nr 12a) </w:t>
      </w:r>
      <w:r w:rsidR="008C69EA" w:rsidRPr="008C69EA">
        <w:rPr>
          <w:rFonts w:ascii="Times New Roman" w:hAnsi="Times New Roman"/>
          <w:sz w:val="24"/>
          <w:szCs w:val="24"/>
          <w:u w:val="single"/>
          <w:lang w:val="pl-PL"/>
        </w:rPr>
        <w:t>W</w:t>
      </w:r>
      <w:proofErr w:type="spellStart"/>
      <w:r w:rsidRPr="008C69EA">
        <w:rPr>
          <w:rFonts w:ascii="Times New Roman" w:hAnsi="Times New Roman"/>
          <w:sz w:val="24"/>
          <w:szCs w:val="24"/>
          <w:u w:val="single"/>
        </w:rPr>
        <w:t>ykonawca</w:t>
      </w:r>
      <w:r w:rsidR="008C69EA">
        <w:rPr>
          <w:rFonts w:ascii="Times New Roman" w:hAnsi="Times New Roman"/>
          <w:sz w:val="24"/>
          <w:szCs w:val="24"/>
          <w:lang w:val="pl-PL"/>
        </w:rPr>
        <w:t>dołącza</w:t>
      </w:r>
      <w:proofErr w:type="spellEnd"/>
      <w:r w:rsidRPr="000157F9">
        <w:rPr>
          <w:rFonts w:ascii="Times New Roman" w:hAnsi="Times New Roman"/>
          <w:sz w:val="24"/>
          <w:szCs w:val="24"/>
        </w:rPr>
        <w:t xml:space="preserve"> do oferty wykaz zawierający materiały i urządzenia zawarte w dok</w:t>
      </w:r>
      <w:r w:rsidR="00EB6F50">
        <w:rPr>
          <w:rFonts w:ascii="Times New Roman" w:hAnsi="Times New Roman"/>
          <w:sz w:val="24"/>
          <w:szCs w:val="24"/>
        </w:rPr>
        <w:t>umentacji projektowej oraz poda</w:t>
      </w:r>
      <w:r w:rsidR="00EB6F50">
        <w:rPr>
          <w:rFonts w:ascii="Times New Roman" w:hAnsi="Times New Roman"/>
          <w:sz w:val="24"/>
          <w:szCs w:val="24"/>
          <w:lang w:val="pl-PL"/>
        </w:rPr>
        <w:t>je</w:t>
      </w:r>
      <w:r w:rsidRPr="000157F9">
        <w:rPr>
          <w:rFonts w:ascii="Times New Roman" w:hAnsi="Times New Roman"/>
          <w:sz w:val="24"/>
          <w:szCs w:val="24"/>
        </w:rPr>
        <w:t xml:space="preserve"> ich równoważniki (nazwy materiałów i urządzeń zaproponowanych w ofercie). Do wykazu wówczas należy dołączyć stosowne dokumenty zawierające parametry techniczne zaproponowanych równoważnych materiałów i urządzeń.</w:t>
      </w:r>
    </w:p>
    <w:p w:rsidR="000125C6" w:rsidRPr="00006E71" w:rsidRDefault="000125C6" w:rsidP="00446FFD">
      <w:pPr>
        <w:pStyle w:val="Tekstpodstawowy"/>
        <w:spacing w:line="24" w:lineRule="atLeast"/>
        <w:rPr>
          <w:rFonts w:ascii="Times New Roman" w:hAnsi="Times New Roman"/>
          <w:sz w:val="24"/>
          <w:szCs w:val="24"/>
        </w:rPr>
      </w:pPr>
    </w:p>
    <w:p w:rsidR="000125C6" w:rsidRPr="00006E71" w:rsidRDefault="000125C6" w:rsidP="00446FFD">
      <w:pPr>
        <w:pStyle w:val="Tekstpodstawowy"/>
        <w:spacing w:line="24" w:lineRule="atLeast"/>
        <w:rPr>
          <w:rFonts w:ascii="Times New Roman" w:hAnsi="Times New Roman"/>
          <w:sz w:val="24"/>
          <w:szCs w:val="24"/>
        </w:rPr>
      </w:pPr>
      <w:r w:rsidRPr="00006E71">
        <w:rPr>
          <w:rFonts w:ascii="Times New Roman" w:hAnsi="Times New Roman"/>
          <w:sz w:val="24"/>
          <w:szCs w:val="24"/>
        </w:rPr>
        <w:t>Wszystkie parametry wyrażone wartością liczbową uznane zostaną za nie gorsze od wymaganych w niniejszym opracowaniu pod warunkiem spełnienia wymagania z tolerancją +/- 3%.</w:t>
      </w:r>
    </w:p>
    <w:p w:rsidR="000125C6" w:rsidRPr="00006E71" w:rsidRDefault="000125C6" w:rsidP="00446FFD">
      <w:pPr>
        <w:pStyle w:val="Tekstpodstawowy"/>
        <w:spacing w:line="24" w:lineRule="atLeast"/>
        <w:rPr>
          <w:rFonts w:ascii="Times New Roman" w:hAnsi="Times New Roman"/>
          <w:sz w:val="24"/>
          <w:szCs w:val="24"/>
        </w:rPr>
      </w:pPr>
    </w:p>
    <w:p w:rsidR="000125C6" w:rsidRPr="00EB6F50" w:rsidRDefault="000125C6" w:rsidP="00446FFD">
      <w:pPr>
        <w:pStyle w:val="Tekstpodstawowy"/>
        <w:spacing w:line="24" w:lineRule="atLeast"/>
        <w:rPr>
          <w:rFonts w:ascii="Times New Roman" w:hAnsi="Times New Roman"/>
          <w:sz w:val="24"/>
          <w:szCs w:val="24"/>
        </w:rPr>
      </w:pPr>
      <w:r w:rsidRPr="00006E71">
        <w:rPr>
          <w:rFonts w:ascii="Times New Roman" w:hAnsi="Times New Roman"/>
          <w:sz w:val="24"/>
          <w:szCs w:val="24"/>
        </w:rPr>
        <w:t>Wszystkie pozostałe parametry nie wartościowe (nie wyrażone wartością liczbową) uznane zostaną za nie gorsze od wymaganych w niniejszym opracowan</w:t>
      </w:r>
      <w:r w:rsidR="00EB6F50">
        <w:rPr>
          <w:rFonts w:ascii="Times New Roman" w:hAnsi="Times New Roman"/>
          <w:sz w:val="24"/>
          <w:szCs w:val="24"/>
        </w:rPr>
        <w:t>iu pod warunkiem ich spełnienia</w:t>
      </w:r>
      <w:r w:rsidR="00EB6F50">
        <w:rPr>
          <w:rFonts w:ascii="Times New Roman" w:hAnsi="Times New Roman"/>
          <w:sz w:val="24"/>
          <w:szCs w:val="24"/>
          <w:lang w:val="pl-PL"/>
        </w:rPr>
        <w:t xml:space="preserve">. </w:t>
      </w:r>
    </w:p>
    <w:p w:rsidR="000125C6" w:rsidRPr="00006E71" w:rsidRDefault="000125C6" w:rsidP="00446FFD">
      <w:pPr>
        <w:pStyle w:val="Tekstpodstawowy"/>
        <w:spacing w:line="24" w:lineRule="atLeast"/>
        <w:rPr>
          <w:rFonts w:ascii="Times New Roman" w:hAnsi="Times New Roman"/>
          <w:sz w:val="24"/>
          <w:szCs w:val="24"/>
        </w:rPr>
      </w:pPr>
    </w:p>
    <w:p w:rsidR="000125C6" w:rsidRPr="00006E71" w:rsidRDefault="000125C6" w:rsidP="00446FFD">
      <w:pPr>
        <w:pStyle w:val="Tekstpodstawowy"/>
        <w:spacing w:line="24" w:lineRule="atLeast"/>
        <w:rPr>
          <w:rFonts w:ascii="Times New Roman" w:hAnsi="Times New Roman"/>
          <w:sz w:val="24"/>
          <w:szCs w:val="24"/>
        </w:rPr>
      </w:pPr>
      <w:r w:rsidRPr="00006E71">
        <w:rPr>
          <w:rFonts w:ascii="Times New Roman" w:hAnsi="Times New Roman"/>
          <w:sz w:val="24"/>
          <w:szCs w:val="24"/>
        </w:rPr>
        <w:t>Urządzenia i rozwiązania, których parametry wyrażone wartością liczbową nie spełniają warunku +/- 3% wartości wymaganej lub parametry nie wyrażone wartością liczbową nie spełniające warunku ich spełnienia zostaną uznane za gorsze od wymaganych i ocenione jako wariantowe.</w:t>
      </w:r>
    </w:p>
    <w:p w:rsidR="00537B68" w:rsidRPr="00006E71" w:rsidRDefault="00537B68" w:rsidP="00446FFD">
      <w:pPr>
        <w:pStyle w:val="Tekstpodstawowy"/>
        <w:spacing w:line="24" w:lineRule="atLeast"/>
        <w:rPr>
          <w:rFonts w:ascii="Times New Roman" w:hAnsi="Times New Roman"/>
          <w:sz w:val="24"/>
          <w:szCs w:val="24"/>
        </w:rPr>
      </w:pPr>
    </w:p>
    <w:p w:rsidR="00537B68" w:rsidRPr="00006E71" w:rsidRDefault="00537B68" w:rsidP="00446FFD">
      <w:pPr>
        <w:pStyle w:val="Tekstpodstawowy"/>
        <w:numPr>
          <w:ilvl w:val="0"/>
          <w:numId w:val="1"/>
        </w:numPr>
        <w:spacing w:line="24" w:lineRule="atLeast"/>
        <w:rPr>
          <w:rFonts w:ascii="Times New Roman" w:hAnsi="Times New Roman"/>
          <w:sz w:val="24"/>
          <w:szCs w:val="24"/>
        </w:rPr>
      </w:pPr>
      <w:r w:rsidRPr="00006E71">
        <w:rPr>
          <w:rFonts w:ascii="Times New Roman" w:hAnsi="Times New Roman"/>
          <w:sz w:val="24"/>
          <w:szCs w:val="24"/>
        </w:rPr>
        <w:t xml:space="preserve">Zamawiający zmienił SIWZ w zakresie możliwości odrzucenia oferty po dokonaniu czynności wyboru najkorzystniejszej oferty i w konsekwencji zatrzymania wniesionego wadium  przez wykonawcę (Rozdział IV dział.  VII pkt. 2). </w:t>
      </w:r>
    </w:p>
    <w:p w:rsidR="00637A50" w:rsidRPr="00006E71" w:rsidRDefault="00895AFB" w:rsidP="00446FFD">
      <w:pPr>
        <w:pStyle w:val="Tekstpodstawowy"/>
        <w:spacing w:line="24" w:lineRule="atLeast"/>
        <w:ind w:left="720"/>
        <w:rPr>
          <w:rFonts w:ascii="Times New Roman" w:hAnsi="Times New Roman"/>
          <w:sz w:val="24"/>
          <w:szCs w:val="24"/>
        </w:rPr>
      </w:pPr>
      <w:r w:rsidRPr="00006E71">
        <w:rPr>
          <w:rFonts w:ascii="Times New Roman" w:hAnsi="Times New Roman"/>
          <w:sz w:val="24"/>
          <w:szCs w:val="24"/>
        </w:rPr>
        <w:t xml:space="preserve">Uzupełniono </w:t>
      </w:r>
      <w:r w:rsidR="00637A50" w:rsidRPr="00006E71">
        <w:rPr>
          <w:rFonts w:ascii="Times New Roman" w:hAnsi="Times New Roman"/>
          <w:sz w:val="24"/>
          <w:szCs w:val="24"/>
        </w:rPr>
        <w:t>zapisy SIW</w:t>
      </w:r>
      <w:r w:rsidR="00446FFD" w:rsidRPr="00006E71">
        <w:rPr>
          <w:rFonts w:ascii="Times New Roman" w:hAnsi="Times New Roman"/>
          <w:sz w:val="24"/>
          <w:szCs w:val="24"/>
          <w:lang w:val="pl-PL"/>
        </w:rPr>
        <w:t>Z</w:t>
      </w:r>
      <w:r w:rsidR="00637A50" w:rsidRPr="00006E71">
        <w:rPr>
          <w:rFonts w:ascii="Times New Roman" w:hAnsi="Times New Roman"/>
          <w:sz w:val="24"/>
          <w:szCs w:val="24"/>
        </w:rPr>
        <w:t xml:space="preserve">  w </w:t>
      </w:r>
      <w:r w:rsidRPr="00006E71">
        <w:rPr>
          <w:rFonts w:ascii="Times New Roman" w:hAnsi="Times New Roman"/>
          <w:sz w:val="24"/>
          <w:szCs w:val="24"/>
        </w:rPr>
        <w:t xml:space="preserve">Rozdział IV </w:t>
      </w:r>
      <w:r w:rsidR="00637A50" w:rsidRPr="00006E71">
        <w:rPr>
          <w:rFonts w:ascii="Times New Roman" w:hAnsi="Times New Roman"/>
          <w:sz w:val="24"/>
          <w:szCs w:val="24"/>
        </w:rPr>
        <w:t xml:space="preserve">dział. </w:t>
      </w:r>
      <w:r w:rsidRPr="00006E71">
        <w:rPr>
          <w:rFonts w:ascii="Times New Roman" w:hAnsi="Times New Roman"/>
          <w:sz w:val="24"/>
          <w:szCs w:val="24"/>
        </w:rPr>
        <w:t xml:space="preserve"> VII pkt. 2 </w:t>
      </w:r>
      <w:r w:rsidR="00537B68" w:rsidRPr="00006E71">
        <w:rPr>
          <w:rFonts w:ascii="Times New Roman" w:hAnsi="Times New Roman"/>
          <w:b/>
          <w:sz w:val="24"/>
          <w:szCs w:val="24"/>
          <w:lang w:val="pl-PL"/>
        </w:rPr>
        <w:t>Nowe zapis otrzymuje brzmienie</w:t>
      </w:r>
      <w:r w:rsidRPr="00006E71">
        <w:rPr>
          <w:rFonts w:ascii="Times New Roman" w:hAnsi="Times New Roman"/>
          <w:b/>
          <w:sz w:val="24"/>
          <w:szCs w:val="24"/>
        </w:rPr>
        <w:t>:</w:t>
      </w:r>
      <w:r w:rsidRPr="00006E71">
        <w:rPr>
          <w:rFonts w:ascii="Times New Roman" w:hAnsi="Times New Roman"/>
          <w:kern w:val="1"/>
          <w:sz w:val="24"/>
          <w:szCs w:val="24"/>
          <w:lang w:eastAsia="hi-IN" w:bidi="hi-IN"/>
        </w:rPr>
        <w:t xml:space="preserve">„Wykonawca załączy do oferty Wykaz maszyn, urządzeń i wyposażenia jakie zamierza przyjąć do realizacji zamówienia, sporządzony według wzoru (załącznik nr 12a), w którym zawrze niezbędne informacje potwierdzające, że zaoferowane urządzenia i wyposażenie spełniają wymagania określone w SIWZ, w tym w dokumentacji projektowej i w </w:t>
      </w:r>
      <w:proofErr w:type="spellStart"/>
      <w:r w:rsidRPr="00006E71">
        <w:rPr>
          <w:rFonts w:ascii="Times New Roman" w:hAnsi="Times New Roman"/>
          <w:kern w:val="1"/>
          <w:sz w:val="24"/>
          <w:szCs w:val="24"/>
          <w:lang w:eastAsia="hi-IN" w:bidi="hi-IN"/>
        </w:rPr>
        <w:t>STWiOR</w:t>
      </w:r>
      <w:proofErr w:type="spellEnd"/>
      <w:r w:rsidRPr="00006E71">
        <w:rPr>
          <w:rFonts w:ascii="Times New Roman" w:hAnsi="Times New Roman"/>
          <w:kern w:val="1"/>
          <w:sz w:val="24"/>
          <w:szCs w:val="24"/>
          <w:lang w:eastAsia="hi-IN" w:bidi="hi-IN"/>
        </w:rPr>
        <w:t>. Przy ocenie spełniania przez zaoferowane urządzenia i wyposażenie warunków określonych w SIWZ, Zamawiający może</w:t>
      </w:r>
      <w:r w:rsidR="00D3347C">
        <w:rPr>
          <w:rFonts w:ascii="Times New Roman" w:hAnsi="Times New Roman"/>
          <w:kern w:val="1"/>
          <w:sz w:val="24"/>
          <w:szCs w:val="24"/>
          <w:lang w:eastAsia="hi-IN" w:bidi="hi-IN"/>
        </w:rPr>
        <w:t xml:space="preserve"> posługiwać się opinią biegłych</w:t>
      </w:r>
      <w:r w:rsidRPr="00006E71">
        <w:rPr>
          <w:rFonts w:ascii="Times New Roman" w:hAnsi="Times New Roman"/>
          <w:kern w:val="1"/>
          <w:sz w:val="24"/>
          <w:szCs w:val="24"/>
          <w:lang w:eastAsia="hi-IN" w:bidi="hi-IN"/>
        </w:rPr>
        <w:t>.</w:t>
      </w:r>
      <w:r w:rsidR="00637A50" w:rsidRPr="00006E71">
        <w:rPr>
          <w:rFonts w:ascii="Times New Roman" w:hAnsi="Times New Roman"/>
          <w:sz w:val="24"/>
          <w:szCs w:val="24"/>
        </w:rPr>
        <w:t xml:space="preserve">W przypadku wątpliwości Zamawiający może </w:t>
      </w:r>
      <w:r w:rsidR="00637A50" w:rsidRPr="00006E71">
        <w:rPr>
          <w:rFonts w:ascii="Times New Roman" w:hAnsi="Times New Roman"/>
          <w:sz w:val="24"/>
          <w:szCs w:val="24"/>
        </w:rPr>
        <w:lastRenderedPageBreak/>
        <w:t>raz zwrócić się do oferenta o wyjaśnienia. Oferent w terminie 3 dni składa wyjaśnienia do złożonej pod rygorem odrz</w:t>
      </w:r>
      <w:r w:rsidR="00997F1B" w:rsidRPr="00006E71">
        <w:rPr>
          <w:rFonts w:ascii="Times New Roman" w:hAnsi="Times New Roman"/>
          <w:sz w:val="24"/>
          <w:szCs w:val="24"/>
        </w:rPr>
        <w:t>ucenia oferty jako nie zgodniej”</w:t>
      </w:r>
    </w:p>
    <w:p w:rsidR="00537B68" w:rsidRPr="00006E71" w:rsidRDefault="00537B68" w:rsidP="00446FFD">
      <w:pPr>
        <w:pStyle w:val="Tekstpodstawowy"/>
        <w:spacing w:line="24" w:lineRule="atLeast"/>
        <w:ind w:left="720"/>
        <w:rPr>
          <w:rFonts w:ascii="Times New Roman" w:hAnsi="Times New Roman"/>
          <w:sz w:val="24"/>
          <w:szCs w:val="24"/>
        </w:rPr>
      </w:pPr>
    </w:p>
    <w:p w:rsidR="0045669F" w:rsidRDefault="00637A50" w:rsidP="00446FFD">
      <w:pPr>
        <w:spacing w:line="24" w:lineRule="atLeast"/>
        <w:jc w:val="both"/>
        <w:rPr>
          <w:rFonts w:ascii="Times New Roman" w:hAnsi="Times New Roman" w:cs="Times New Roman"/>
          <w:b/>
          <w:sz w:val="24"/>
          <w:szCs w:val="24"/>
        </w:rPr>
      </w:pPr>
      <w:r w:rsidRPr="00006E71">
        <w:rPr>
          <w:rFonts w:ascii="Times New Roman" w:hAnsi="Times New Roman" w:cs="Times New Roman"/>
          <w:b/>
          <w:kern w:val="1"/>
          <w:sz w:val="24"/>
          <w:szCs w:val="24"/>
          <w:lang w:eastAsia="hi-IN" w:bidi="hi-IN"/>
        </w:rPr>
        <w:t>Zamawiający będzie oceniał parametry równoważności w oparciu o dokument – tj. załącznik nr12-</w:t>
      </w:r>
      <w:r w:rsidRPr="00006E71">
        <w:rPr>
          <w:rFonts w:ascii="Times New Roman" w:hAnsi="Times New Roman" w:cs="Times New Roman"/>
          <w:b/>
          <w:sz w:val="24"/>
          <w:szCs w:val="24"/>
        </w:rPr>
        <w:t xml:space="preserve"> Opis i wykaz wymaganych parametrów urz</w:t>
      </w:r>
      <w:r w:rsidR="0045669F">
        <w:rPr>
          <w:rFonts w:ascii="Times New Roman" w:hAnsi="Times New Roman" w:cs="Times New Roman"/>
          <w:b/>
          <w:sz w:val="24"/>
          <w:szCs w:val="24"/>
        </w:rPr>
        <w:t>ądzeń i materiałów równoważnych oraz na podstawie listy referencyjnej przedłożonej przez Wykonawcę oraz załączonych przez Wykonawcę dokumentów potwierdzających parametry (załącznik nr 12a).</w:t>
      </w:r>
    </w:p>
    <w:p w:rsidR="00895AFB" w:rsidRPr="00006E71" w:rsidRDefault="00722205" w:rsidP="00446FFD">
      <w:pPr>
        <w:spacing w:line="24" w:lineRule="atLeast"/>
        <w:jc w:val="both"/>
        <w:rPr>
          <w:rFonts w:ascii="Times New Roman" w:hAnsi="Times New Roman" w:cs="Times New Roman"/>
          <w:b/>
          <w:sz w:val="24"/>
          <w:szCs w:val="24"/>
        </w:rPr>
      </w:pPr>
      <w:r w:rsidRPr="00006E71">
        <w:rPr>
          <w:rFonts w:ascii="Times New Roman" w:hAnsi="Times New Roman" w:cs="Times New Roman"/>
          <w:b/>
          <w:sz w:val="24"/>
          <w:szCs w:val="24"/>
        </w:rPr>
        <w:t>Każdy oferent obligatoryjnie przedkłada do oferty załąc</w:t>
      </w:r>
      <w:r w:rsidR="0045669F">
        <w:rPr>
          <w:rFonts w:ascii="Times New Roman" w:hAnsi="Times New Roman" w:cs="Times New Roman"/>
          <w:b/>
          <w:sz w:val="24"/>
          <w:szCs w:val="24"/>
        </w:rPr>
        <w:t xml:space="preserve">znik nr 12a wraz z załącznikami (np. karty katalogowe). </w:t>
      </w:r>
    </w:p>
    <w:p w:rsidR="00385C5B" w:rsidRPr="00006E71" w:rsidRDefault="00385C5B" w:rsidP="00385C5B">
      <w:pPr>
        <w:pStyle w:val="Akapitzlist"/>
        <w:numPr>
          <w:ilvl w:val="0"/>
          <w:numId w:val="1"/>
        </w:numPr>
        <w:spacing w:line="24" w:lineRule="atLeast"/>
        <w:jc w:val="both"/>
        <w:rPr>
          <w:rFonts w:ascii="Times New Roman" w:hAnsi="Times New Roman" w:cs="Times New Roman"/>
          <w:sz w:val="24"/>
          <w:szCs w:val="24"/>
        </w:rPr>
      </w:pPr>
      <w:r w:rsidRPr="00006E71">
        <w:rPr>
          <w:rFonts w:ascii="Times New Roman" w:hAnsi="Times New Roman" w:cs="Times New Roman"/>
          <w:sz w:val="24"/>
          <w:szCs w:val="24"/>
        </w:rPr>
        <w:t>Usunięto w dziale IV pkt. VIII zapisy – lit.l).</w:t>
      </w:r>
    </w:p>
    <w:p w:rsidR="003E4F2B" w:rsidRPr="00006E71" w:rsidRDefault="003E4F2B" w:rsidP="00446FFD">
      <w:pPr>
        <w:pStyle w:val="Akapitzlist"/>
        <w:numPr>
          <w:ilvl w:val="0"/>
          <w:numId w:val="1"/>
        </w:numPr>
        <w:spacing w:line="24" w:lineRule="atLeast"/>
        <w:jc w:val="both"/>
        <w:rPr>
          <w:rFonts w:ascii="Times New Roman" w:hAnsi="Times New Roman" w:cs="Times New Roman"/>
          <w:sz w:val="24"/>
          <w:szCs w:val="24"/>
        </w:rPr>
      </w:pPr>
      <w:r w:rsidRPr="00006E71">
        <w:rPr>
          <w:rFonts w:ascii="Times New Roman" w:hAnsi="Times New Roman" w:cs="Times New Roman"/>
          <w:sz w:val="24"/>
          <w:szCs w:val="24"/>
        </w:rPr>
        <w:t xml:space="preserve">Uzupełniono opis przedmiotu zamówienia o projekt wykonawczy w branży technologicznej w tym projekt/rysunki techniczne obejmujące konstrukcje nośne instalacji urządzeń i wyposażenia , konstrukcje nośne pomostów obsługowych, rysunki </w:t>
      </w:r>
      <w:r w:rsidR="00895AFB" w:rsidRPr="00006E71">
        <w:rPr>
          <w:rFonts w:ascii="Times New Roman" w:hAnsi="Times New Roman" w:cs="Times New Roman"/>
          <w:sz w:val="24"/>
          <w:szCs w:val="24"/>
        </w:rPr>
        <w:t>szczegółowe</w:t>
      </w:r>
      <w:r w:rsidRPr="00006E71">
        <w:rPr>
          <w:rFonts w:ascii="Times New Roman" w:hAnsi="Times New Roman" w:cs="Times New Roman"/>
          <w:sz w:val="24"/>
          <w:szCs w:val="24"/>
        </w:rPr>
        <w:t xml:space="preserve"> balustrad, schodów, schodów, z</w:t>
      </w:r>
      <w:r w:rsidR="00895AFB" w:rsidRPr="00006E71">
        <w:rPr>
          <w:rFonts w:ascii="Times New Roman" w:hAnsi="Times New Roman" w:cs="Times New Roman"/>
          <w:sz w:val="24"/>
          <w:szCs w:val="24"/>
        </w:rPr>
        <w:t>a</w:t>
      </w:r>
      <w:r w:rsidRPr="00006E71">
        <w:rPr>
          <w:rFonts w:ascii="Times New Roman" w:hAnsi="Times New Roman" w:cs="Times New Roman"/>
          <w:sz w:val="24"/>
          <w:szCs w:val="24"/>
        </w:rPr>
        <w:t>da</w:t>
      </w:r>
      <w:r w:rsidR="00895AFB" w:rsidRPr="00006E71">
        <w:rPr>
          <w:rFonts w:ascii="Times New Roman" w:hAnsi="Times New Roman" w:cs="Times New Roman"/>
          <w:sz w:val="24"/>
          <w:szCs w:val="24"/>
        </w:rPr>
        <w:t>szenia</w:t>
      </w:r>
      <w:r w:rsidRPr="00006E71">
        <w:rPr>
          <w:rFonts w:ascii="Times New Roman" w:hAnsi="Times New Roman" w:cs="Times New Roman"/>
          <w:sz w:val="24"/>
          <w:szCs w:val="24"/>
        </w:rPr>
        <w:t>.</w:t>
      </w:r>
    </w:p>
    <w:p w:rsidR="001E0684" w:rsidRPr="00006E71" w:rsidRDefault="001E0684" w:rsidP="00446FFD">
      <w:pPr>
        <w:pStyle w:val="Akapitzlist"/>
        <w:spacing w:line="24" w:lineRule="atLeast"/>
        <w:rPr>
          <w:rFonts w:ascii="Times New Roman" w:hAnsi="Times New Roman" w:cs="Times New Roman"/>
          <w:b/>
          <w:sz w:val="24"/>
          <w:szCs w:val="24"/>
        </w:rPr>
      </w:pPr>
    </w:p>
    <w:p w:rsidR="001E0684" w:rsidRPr="00006E71" w:rsidRDefault="001E0684" w:rsidP="00446FFD">
      <w:pPr>
        <w:pStyle w:val="Akapitzlist"/>
        <w:numPr>
          <w:ilvl w:val="0"/>
          <w:numId w:val="1"/>
        </w:numPr>
        <w:spacing w:line="24" w:lineRule="atLeast"/>
        <w:rPr>
          <w:rFonts w:ascii="Times New Roman" w:hAnsi="Times New Roman" w:cs="Times New Roman"/>
          <w:b/>
          <w:sz w:val="24"/>
          <w:szCs w:val="24"/>
        </w:rPr>
      </w:pPr>
      <w:r w:rsidRPr="00006E71">
        <w:rPr>
          <w:rFonts w:ascii="Times New Roman" w:hAnsi="Times New Roman" w:cs="Times New Roman"/>
          <w:b/>
          <w:sz w:val="24"/>
          <w:szCs w:val="24"/>
        </w:rPr>
        <w:t>Dokonano zmian w zakresie dokumentów zakresie wykluczenia:</w:t>
      </w:r>
    </w:p>
    <w:p w:rsidR="00537B68" w:rsidRPr="00006E71" w:rsidRDefault="00537B68" w:rsidP="00446FFD">
      <w:pPr>
        <w:pStyle w:val="Akapitzlist"/>
        <w:spacing w:line="24" w:lineRule="atLeast"/>
        <w:rPr>
          <w:rFonts w:ascii="Times New Roman" w:hAnsi="Times New Roman" w:cs="Times New Roman"/>
          <w:sz w:val="24"/>
          <w:szCs w:val="24"/>
        </w:rPr>
      </w:pPr>
    </w:p>
    <w:p w:rsidR="0091635E" w:rsidRPr="00006E71" w:rsidRDefault="008D57B3" w:rsidP="00446FFD">
      <w:pPr>
        <w:pStyle w:val="Akapitzlist"/>
        <w:numPr>
          <w:ilvl w:val="1"/>
          <w:numId w:val="1"/>
        </w:numPr>
        <w:spacing w:line="24" w:lineRule="atLeast"/>
        <w:rPr>
          <w:rFonts w:ascii="Times New Roman" w:hAnsi="Times New Roman" w:cs="Times New Roman"/>
          <w:sz w:val="24"/>
          <w:szCs w:val="24"/>
        </w:rPr>
      </w:pPr>
      <w:r w:rsidRPr="00006E71">
        <w:rPr>
          <w:rFonts w:ascii="Times New Roman" w:hAnsi="Times New Roman" w:cs="Times New Roman"/>
          <w:sz w:val="24"/>
          <w:szCs w:val="24"/>
        </w:rPr>
        <w:t>Zm</w:t>
      </w:r>
      <w:r w:rsidR="0091635E" w:rsidRPr="00006E71">
        <w:rPr>
          <w:rFonts w:ascii="Times New Roman" w:hAnsi="Times New Roman" w:cs="Times New Roman"/>
          <w:sz w:val="24"/>
          <w:szCs w:val="24"/>
        </w:rPr>
        <w:t xml:space="preserve">ieniono zapisy  rozdział VII pkt 2 lit b) i lit c) </w:t>
      </w:r>
    </w:p>
    <w:p w:rsidR="00DB44C5" w:rsidRPr="00006E71" w:rsidRDefault="00DB44C5" w:rsidP="00446FFD">
      <w:pPr>
        <w:pStyle w:val="Akapitzlist"/>
        <w:numPr>
          <w:ilvl w:val="1"/>
          <w:numId w:val="1"/>
        </w:numPr>
        <w:spacing w:line="24" w:lineRule="atLeast"/>
        <w:rPr>
          <w:rFonts w:ascii="Times New Roman" w:hAnsi="Times New Roman" w:cs="Times New Roman"/>
          <w:sz w:val="24"/>
          <w:szCs w:val="24"/>
        </w:rPr>
      </w:pPr>
      <w:r w:rsidRPr="00006E71">
        <w:rPr>
          <w:rFonts w:ascii="Times New Roman" w:hAnsi="Times New Roman" w:cs="Times New Roman"/>
          <w:sz w:val="24"/>
          <w:szCs w:val="24"/>
        </w:rPr>
        <w:t xml:space="preserve">Usunięto pkt 4,5,6 Rozdział  VI SIWZ  </w:t>
      </w:r>
    </w:p>
    <w:p w:rsidR="00DA7B3E" w:rsidRPr="00006E71" w:rsidRDefault="00DA7B3E" w:rsidP="00446FFD">
      <w:pPr>
        <w:pStyle w:val="Akapitzlist"/>
        <w:numPr>
          <w:ilvl w:val="1"/>
          <w:numId w:val="1"/>
        </w:numPr>
        <w:spacing w:line="24" w:lineRule="atLeast"/>
        <w:rPr>
          <w:rFonts w:ascii="Times New Roman" w:hAnsi="Times New Roman" w:cs="Times New Roman"/>
          <w:sz w:val="24"/>
          <w:szCs w:val="24"/>
        </w:rPr>
      </w:pPr>
      <w:r w:rsidRPr="00006E71">
        <w:rPr>
          <w:rFonts w:ascii="Times New Roman" w:hAnsi="Times New Roman" w:cs="Times New Roman"/>
          <w:sz w:val="24"/>
          <w:szCs w:val="24"/>
        </w:rPr>
        <w:t>Zmieniono</w:t>
      </w:r>
      <w:r w:rsidR="00537B68" w:rsidRPr="00006E71">
        <w:rPr>
          <w:rFonts w:ascii="Times New Roman" w:hAnsi="Times New Roman" w:cs="Times New Roman"/>
          <w:sz w:val="24"/>
          <w:szCs w:val="24"/>
        </w:rPr>
        <w:t xml:space="preserve"> rozdział VI pkt 3.1, który otrzymuje brzmienie:</w:t>
      </w:r>
      <w:r w:rsidR="001D0399" w:rsidRPr="00006E71">
        <w:rPr>
          <w:rFonts w:ascii="Times New Roman" w:hAnsi="Times New Roman" w:cs="Times New Roman"/>
          <w:sz w:val="24"/>
          <w:szCs w:val="24"/>
        </w:rPr>
        <w:t xml:space="preserve"> ”</w:t>
      </w:r>
      <w:r w:rsidRPr="00006E71">
        <w:rPr>
          <w:rFonts w:ascii="Times New Roman" w:hAnsi="Times New Roman" w:cs="Times New Roman"/>
          <w:bCs/>
          <w:color w:val="000000"/>
          <w:sz w:val="24"/>
          <w:szCs w:val="24"/>
        </w:rPr>
        <w:t>O zamówienie mogą ubiegać się oferenci, którzy spełniają warunki określone w art. 22.ust. 1 :</w:t>
      </w:r>
      <w:r w:rsidRPr="00006E71">
        <w:rPr>
          <w:rFonts w:ascii="Times New Roman" w:hAnsi="Times New Roman" w:cs="Times New Roman"/>
          <w:sz w:val="24"/>
          <w:szCs w:val="24"/>
        </w:rPr>
        <w:t xml:space="preserve"> O udzielenie zamówienia mogą ubiegać się  Wykonawcy, którzy:</w:t>
      </w:r>
    </w:p>
    <w:p w:rsidR="00DA7B3E" w:rsidRPr="00006E71" w:rsidRDefault="00DA7B3E" w:rsidP="00446FFD">
      <w:pPr>
        <w:spacing w:line="24" w:lineRule="atLeast"/>
        <w:rPr>
          <w:rFonts w:ascii="Times New Roman" w:hAnsi="Times New Roman" w:cs="Times New Roman"/>
          <w:sz w:val="24"/>
          <w:szCs w:val="24"/>
        </w:rPr>
      </w:pPr>
      <w:r w:rsidRPr="00006E71">
        <w:rPr>
          <w:rFonts w:ascii="Times New Roman" w:hAnsi="Times New Roman" w:cs="Times New Roman"/>
          <w:sz w:val="24"/>
          <w:szCs w:val="24"/>
        </w:rPr>
        <w:t xml:space="preserve">1) nie podlegają wykluczeniu w oparciu o art. 24 ust. 1 i ust.5 </w:t>
      </w:r>
      <w:proofErr w:type="spellStart"/>
      <w:r w:rsidRPr="00006E71">
        <w:rPr>
          <w:rFonts w:ascii="Times New Roman" w:hAnsi="Times New Roman" w:cs="Times New Roman"/>
          <w:sz w:val="24"/>
          <w:szCs w:val="24"/>
        </w:rPr>
        <w:t>pkt</w:t>
      </w:r>
      <w:proofErr w:type="spellEnd"/>
      <w:r w:rsidRPr="00006E71">
        <w:rPr>
          <w:rFonts w:ascii="Times New Roman" w:hAnsi="Times New Roman" w:cs="Times New Roman"/>
          <w:sz w:val="24"/>
          <w:szCs w:val="24"/>
        </w:rPr>
        <w:t xml:space="preserve"> 1 ustawy </w:t>
      </w:r>
      <w:proofErr w:type="spellStart"/>
      <w:r w:rsidRPr="00006E71">
        <w:rPr>
          <w:rFonts w:ascii="Times New Roman" w:hAnsi="Times New Roman" w:cs="Times New Roman"/>
          <w:sz w:val="24"/>
          <w:szCs w:val="24"/>
        </w:rPr>
        <w:t>PZp</w:t>
      </w:r>
      <w:proofErr w:type="spellEnd"/>
      <w:r w:rsidRPr="00006E71">
        <w:rPr>
          <w:rFonts w:ascii="Times New Roman" w:hAnsi="Times New Roman" w:cs="Times New Roman"/>
          <w:sz w:val="24"/>
          <w:szCs w:val="24"/>
        </w:rPr>
        <w:t>;</w:t>
      </w:r>
    </w:p>
    <w:p w:rsidR="00DA7B3E" w:rsidRPr="00006E71" w:rsidRDefault="00DA7B3E" w:rsidP="00446FFD">
      <w:pPr>
        <w:numPr>
          <w:ilvl w:val="0"/>
          <w:numId w:val="3"/>
        </w:numPr>
        <w:autoSpaceDE w:val="0"/>
        <w:autoSpaceDN w:val="0"/>
        <w:adjustRightInd w:val="0"/>
        <w:spacing w:before="20" w:after="40" w:line="24" w:lineRule="atLeast"/>
        <w:ind w:left="1276" w:hanging="709"/>
        <w:jc w:val="both"/>
        <w:rPr>
          <w:rFonts w:ascii="Times New Roman" w:hAnsi="Times New Roman" w:cs="Times New Roman"/>
          <w:sz w:val="24"/>
          <w:szCs w:val="24"/>
        </w:rPr>
      </w:pPr>
      <w:r w:rsidRPr="00006E71">
        <w:rPr>
          <w:rFonts w:ascii="Times New Roman" w:hAnsi="Times New Roman" w:cs="Times New Roman"/>
          <w:bCs/>
          <w:sz w:val="24"/>
          <w:szCs w:val="24"/>
        </w:rPr>
        <w:t>Zamawiający może wykluczyć Wykonawcę na każdym etapie postępowania (art. 24 ust. 12 ustawy).</w:t>
      </w:r>
    </w:p>
    <w:p w:rsidR="00DA7B3E" w:rsidRPr="00006E71" w:rsidRDefault="00DA7B3E" w:rsidP="00446FFD">
      <w:pPr>
        <w:numPr>
          <w:ilvl w:val="0"/>
          <w:numId w:val="3"/>
        </w:numPr>
        <w:autoSpaceDE w:val="0"/>
        <w:autoSpaceDN w:val="0"/>
        <w:adjustRightInd w:val="0"/>
        <w:spacing w:before="20" w:after="40" w:line="24" w:lineRule="atLeast"/>
        <w:ind w:left="1276" w:hanging="709"/>
        <w:jc w:val="both"/>
        <w:rPr>
          <w:rFonts w:ascii="Times New Roman" w:hAnsi="Times New Roman" w:cs="Times New Roman"/>
          <w:bCs/>
          <w:sz w:val="24"/>
          <w:szCs w:val="24"/>
        </w:rPr>
      </w:pPr>
      <w:r w:rsidRPr="00006E71">
        <w:rPr>
          <w:rFonts w:ascii="Times New Roman" w:hAnsi="Times New Roman" w:cs="Times New Roman"/>
          <w:bCs/>
          <w:sz w:val="24"/>
          <w:szCs w:val="24"/>
        </w:rPr>
        <w:t xml:space="preserve">Wykonawca, który podlega wykluczeniu na podstawie art. 24 ust. 1 pkt 13 </w:t>
      </w:r>
      <w:r w:rsidRPr="00006E71">
        <w:rPr>
          <w:rFonts w:ascii="Times New Roman" w:hAnsi="Times New Roman" w:cs="Times New Roman"/>
          <w:bCs/>
          <w:sz w:val="24"/>
          <w:szCs w:val="24"/>
        </w:rPr>
        <w:br/>
        <w:t>i 14 oraz pkt 16–20 a także art. 24 ust. 5 pkt 1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w:t>
      </w:r>
      <w:r w:rsidR="00495088" w:rsidRPr="00006E71">
        <w:rPr>
          <w:rFonts w:ascii="Times New Roman" w:hAnsi="Times New Roman" w:cs="Times New Roman"/>
          <w:bCs/>
          <w:sz w:val="24"/>
          <w:szCs w:val="24"/>
        </w:rPr>
        <w:t xml:space="preserve"> technicznych, organizacyjnych </w:t>
      </w:r>
      <w:r w:rsidRPr="00006E71">
        <w:rPr>
          <w:rFonts w:ascii="Times New Roman" w:hAnsi="Times New Roman" w:cs="Times New Roman"/>
          <w:bCs/>
          <w:sz w:val="24"/>
          <w:szCs w:val="24"/>
        </w:rPr>
        <w:t xml:space="preserve">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DA7B3E" w:rsidRPr="00006E71" w:rsidRDefault="00DA7B3E" w:rsidP="00446FFD">
      <w:pPr>
        <w:numPr>
          <w:ilvl w:val="0"/>
          <w:numId w:val="3"/>
        </w:numPr>
        <w:autoSpaceDE w:val="0"/>
        <w:autoSpaceDN w:val="0"/>
        <w:adjustRightInd w:val="0"/>
        <w:spacing w:after="0" w:line="24" w:lineRule="atLeast"/>
        <w:ind w:left="927" w:hanging="360"/>
        <w:jc w:val="both"/>
        <w:rPr>
          <w:rFonts w:ascii="Times New Roman" w:hAnsi="Times New Roman" w:cs="Times New Roman"/>
          <w:bCs/>
          <w:sz w:val="24"/>
          <w:szCs w:val="24"/>
          <w:highlight w:val="white"/>
        </w:rPr>
      </w:pPr>
      <w:r w:rsidRPr="00006E71">
        <w:rPr>
          <w:rFonts w:ascii="Times New Roman" w:hAnsi="Times New Roman" w:cs="Times New Roman"/>
          <w:bCs/>
          <w:i/>
          <w:iCs/>
          <w:sz w:val="24"/>
          <w:szCs w:val="24"/>
          <w:highlight w:val="white"/>
        </w:rPr>
        <w:t>/art. 24 ust. 5 pkt 1 ustawy/</w:t>
      </w:r>
      <w:r w:rsidRPr="00006E71">
        <w:rPr>
          <w:rFonts w:ascii="Times New Roman" w:hAnsi="Times New Roman" w:cs="Times New Roman"/>
          <w:bCs/>
          <w:sz w:val="24"/>
          <w:szCs w:val="24"/>
          <w:highlight w:val="white"/>
        </w:rPr>
        <w:t xml:space="preserve"> w stosunku do którego otwarto likwidację, </w:t>
      </w:r>
      <w:r w:rsidRPr="00006E71">
        <w:rPr>
          <w:rFonts w:ascii="Times New Roman" w:hAnsi="Times New Roman" w:cs="Times New Roman"/>
          <w:bCs/>
          <w:sz w:val="24"/>
          <w:szCs w:val="24"/>
          <w:highlight w:val="white"/>
        </w:rPr>
        <w:br/>
        <w:t xml:space="preserve">w zatwierdzonym przez sąd układzie w postępowaniu restrukturyzacyjnym jest przewidziane zaspokojenie wierzycieli przez likwidację jego majątku lub sąd zarządził likwidację jego majątku w trybie </w:t>
      </w:r>
      <w:hyperlink r:id="rId7" w:history="1">
        <w:r w:rsidRPr="00006E71">
          <w:rPr>
            <w:rStyle w:val="Hipercze"/>
            <w:rFonts w:ascii="Times New Roman" w:hAnsi="Times New Roman" w:cs="Times New Roman"/>
            <w:bCs/>
            <w:color w:val="auto"/>
            <w:sz w:val="24"/>
            <w:szCs w:val="24"/>
          </w:rPr>
          <w:t xml:space="preserve">art. </w:t>
        </w:r>
        <w:r w:rsidRPr="00006E71">
          <w:rPr>
            <w:rStyle w:val="Hipercze"/>
            <w:rFonts w:ascii="Times New Roman" w:hAnsi="Times New Roman" w:cs="Times New Roman"/>
            <w:bCs/>
            <w:vanish/>
            <w:color w:val="auto"/>
            <w:sz w:val="24"/>
            <w:szCs w:val="24"/>
          </w:rPr>
          <w:t>HYPERLINK "https://sip.lex.pl/"</w:t>
        </w:r>
        <w:r w:rsidRPr="00006E71">
          <w:rPr>
            <w:rStyle w:val="Hipercze"/>
            <w:rFonts w:ascii="Times New Roman" w:hAnsi="Times New Roman" w:cs="Times New Roman"/>
            <w:bCs/>
            <w:color w:val="auto"/>
            <w:sz w:val="24"/>
            <w:szCs w:val="24"/>
          </w:rPr>
          <w:t xml:space="preserve">332 </w:t>
        </w:r>
        <w:r w:rsidRPr="00006E71">
          <w:rPr>
            <w:rStyle w:val="Hipercze"/>
            <w:rFonts w:ascii="Times New Roman" w:hAnsi="Times New Roman" w:cs="Times New Roman"/>
            <w:bCs/>
            <w:vanish/>
            <w:color w:val="auto"/>
            <w:sz w:val="24"/>
            <w:szCs w:val="24"/>
          </w:rPr>
          <w:t>HYPERLINK "https://sip.lex.pl/"</w:t>
        </w:r>
        <w:r w:rsidRPr="00006E71">
          <w:rPr>
            <w:rStyle w:val="Hipercze"/>
            <w:rFonts w:ascii="Times New Roman" w:hAnsi="Times New Roman" w:cs="Times New Roman"/>
            <w:bCs/>
            <w:color w:val="auto"/>
            <w:sz w:val="24"/>
            <w:szCs w:val="24"/>
          </w:rPr>
          <w:t xml:space="preserve">ust. </w:t>
        </w:r>
        <w:r w:rsidRPr="00006E71">
          <w:rPr>
            <w:rStyle w:val="Hipercze"/>
            <w:rFonts w:ascii="Times New Roman" w:hAnsi="Times New Roman" w:cs="Times New Roman"/>
            <w:bCs/>
            <w:vanish/>
            <w:color w:val="auto"/>
            <w:sz w:val="24"/>
            <w:szCs w:val="24"/>
          </w:rPr>
          <w:t>HYPERLINK "https://sip.lex.pl/"</w:t>
        </w:r>
        <w:r w:rsidRPr="00006E71">
          <w:rPr>
            <w:rStyle w:val="Hipercze"/>
            <w:rFonts w:ascii="Times New Roman" w:hAnsi="Times New Roman" w:cs="Times New Roman"/>
            <w:bCs/>
            <w:color w:val="auto"/>
            <w:sz w:val="24"/>
            <w:szCs w:val="24"/>
          </w:rPr>
          <w:t>1</w:t>
        </w:r>
      </w:hyperlink>
      <w:r w:rsidRPr="00006E71">
        <w:rPr>
          <w:rFonts w:ascii="Times New Roman" w:hAnsi="Times New Roman" w:cs="Times New Roman"/>
          <w:bCs/>
          <w:sz w:val="24"/>
          <w:szCs w:val="24"/>
          <w:highlight w:val="white"/>
        </w:rPr>
        <w:t xml:space="preserve"> ustawy z dnia 15 maja 2015 r. - Prawo restrukturyzacyjne (Dz. U. poz. 978, z </w:t>
      </w:r>
      <w:proofErr w:type="spellStart"/>
      <w:r w:rsidRPr="00006E71">
        <w:rPr>
          <w:rFonts w:ascii="Times New Roman" w:hAnsi="Times New Roman" w:cs="Times New Roman"/>
          <w:bCs/>
          <w:sz w:val="24"/>
          <w:szCs w:val="24"/>
          <w:highlight w:val="white"/>
        </w:rPr>
        <w:t>późn</w:t>
      </w:r>
      <w:proofErr w:type="spellEnd"/>
      <w:r w:rsidRPr="00006E71">
        <w:rPr>
          <w:rFonts w:ascii="Times New Roman" w:hAnsi="Times New Roman" w:cs="Times New Roman"/>
          <w:bCs/>
          <w:sz w:val="24"/>
          <w:szCs w:val="24"/>
          <w:highlight w:val="white"/>
        </w:rPr>
        <w:t xml:space="preserve">. zm.) lub którego upadłość ogłoszono, z wyjątkiem Wykonawcy, który po ogłoszeniu upadłości zawarł układ zatwierdzony prawomocnym postanowieniem sądu, jeżeli układ nie </w:t>
      </w:r>
      <w:r w:rsidRPr="00006E71">
        <w:rPr>
          <w:rFonts w:ascii="Times New Roman" w:hAnsi="Times New Roman" w:cs="Times New Roman"/>
          <w:bCs/>
          <w:sz w:val="24"/>
          <w:szCs w:val="24"/>
          <w:highlight w:val="white"/>
        </w:rPr>
        <w:lastRenderedPageBreak/>
        <w:t xml:space="preserve">przewiduje zaspokojenia wierzycieli przez likwidację majątku upadłego, chyba że sąd zarządził likwidację jego majątku w trybie </w:t>
      </w:r>
      <w:hyperlink r:id="rId8" w:history="1">
        <w:r w:rsidRPr="00006E71">
          <w:rPr>
            <w:rStyle w:val="Hipercze"/>
            <w:rFonts w:ascii="Times New Roman" w:hAnsi="Times New Roman" w:cs="Times New Roman"/>
            <w:bCs/>
            <w:color w:val="auto"/>
            <w:sz w:val="24"/>
            <w:szCs w:val="24"/>
          </w:rPr>
          <w:t xml:space="preserve">art. </w:t>
        </w:r>
        <w:r w:rsidRPr="00006E71">
          <w:rPr>
            <w:rStyle w:val="Hipercze"/>
            <w:rFonts w:ascii="Times New Roman" w:hAnsi="Times New Roman" w:cs="Times New Roman"/>
            <w:bCs/>
            <w:vanish/>
            <w:color w:val="auto"/>
            <w:sz w:val="24"/>
            <w:szCs w:val="24"/>
          </w:rPr>
          <w:t>HYPERLINK "https://sip.lex.pl/"</w:t>
        </w:r>
        <w:r w:rsidRPr="00006E71">
          <w:rPr>
            <w:rStyle w:val="Hipercze"/>
            <w:rFonts w:ascii="Times New Roman" w:hAnsi="Times New Roman" w:cs="Times New Roman"/>
            <w:bCs/>
            <w:color w:val="auto"/>
            <w:sz w:val="24"/>
            <w:szCs w:val="24"/>
          </w:rPr>
          <w:t xml:space="preserve">366 </w:t>
        </w:r>
        <w:r w:rsidRPr="00006E71">
          <w:rPr>
            <w:rStyle w:val="Hipercze"/>
            <w:rFonts w:ascii="Times New Roman" w:hAnsi="Times New Roman" w:cs="Times New Roman"/>
            <w:bCs/>
            <w:vanish/>
            <w:color w:val="auto"/>
            <w:sz w:val="24"/>
            <w:szCs w:val="24"/>
          </w:rPr>
          <w:t>HYPERLINK "https://sip.lex.pl/"</w:t>
        </w:r>
        <w:r w:rsidRPr="00006E71">
          <w:rPr>
            <w:rStyle w:val="Hipercze"/>
            <w:rFonts w:ascii="Times New Roman" w:hAnsi="Times New Roman" w:cs="Times New Roman"/>
            <w:bCs/>
            <w:color w:val="auto"/>
            <w:sz w:val="24"/>
            <w:szCs w:val="24"/>
          </w:rPr>
          <w:t xml:space="preserve">ust. </w:t>
        </w:r>
        <w:r w:rsidRPr="00006E71">
          <w:rPr>
            <w:rStyle w:val="Hipercze"/>
            <w:rFonts w:ascii="Times New Roman" w:hAnsi="Times New Roman" w:cs="Times New Roman"/>
            <w:bCs/>
            <w:vanish/>
            <w:color w:val="auto"/>
            <w:sz w:val="24"/>
            <w:szCs w:val="24"/>
          </w:rPr>
          <w:t>HYPERLINK "https://sip.lex.pl/"</w:t>
        </w:r>
        <w:r w:rsidRPr="00006E71">
          <w:rPr>
            <w:rStyle w:val="Hipercze"/>
            <w:rFonts w:ascii="Times New Roman" w:hAnsi="Times New Roman" w:cs="Times New Roman"/>
            <w:bCs/>
            <w:color w:val="auto"/>
            <w:sz w:val="24"/>
            <w:szCs w:val="24"/>
          </w:rPr>
          <w:t>1</w:t>
        </w:r>
      </w:hyperlink>
      <w:r w:rsidRPr="00006E71">
        <w:rPr>
          <w:rFonts w:ascii="Times New Roman" w:hAnsi="Times New Roman" w:cs="Times New Roman"/>
          <w:bCs/>
          <w:sz w:val="24"/>
          <w:szCs w:val="24"/>
          <w:highlight w:val="white"/>
        </w:rPr>
        <w:t xml:space="preserve">ustawy z dnia 28 lutego 2003 r. - Prawo upadłościowe (Dz. U. z 2015 r. poz. 233, z </w:t>
      </w:r>
      <w:proofErr w:type="spellStart"/>
      <w:r w:rsidRPr="00006E71">
        <w:rPr>
          <w:rFonts w:ascii="Times New Roman" w:hAnsi="Times New Roman" w:cs="Times New Roman"/>
          <w:bCs/>
          <w:sz w:val="24"/>
          <w:szCs w:val="24"/>
          <w:highlight w:val="white"/>
        </w:rPr>
        <w:t>późn</w:t>
      </w:r>
      <w:proofErr w:type="spellEnd"/>
      <w:r w:rsidRPr="00006E71">
        <w:rPr>
          <w:rFonts w:ascii="Times New Roman" w:hAnsi="Times New Roman" w:cs="Times New Roman"/>
          <w:bCs/>
          <w:sz w:val="24"/>
          <w:szCs w:val="24"/>
          <w:highlight w:val="white"/>
        </w:rPr>
        <w:t>. zm.);</w:t>
      </w:r>
    </w:p>
    <w:p w:rsidR="00DA7B3E" w:rsidRPr="00006E71" w:rsidRDefault="00DA7B3E" w:rsidP="00446FFD">
      <w:pPr>
        <w:numPr>
          <w:ilvl w:val="0"/>
          <w:numId w:val="3"/>
        </w:numPr>
        <w:autoSpaceDE w:val="0"/>
        <w:autoSpaceDN w:val="0"/>
        <w:adjustRightInd w:val="0"/>
        <w:spacing w:before="20" w:after="40" w:line="24" w:lineRule="atLeast"/>
        <w:ind w:left="927" w:hanging="360"/>
        <w:jc w:val="both"/>
        <w:rPr>
          <w:rFonts w:ascii="Times New Roman" w:hAnsi="Times New Roman" w:cs="Times New Roman"/>
          <w:bCs/>
          <w:sz w:val="24"/>
          <w:szCs w:val="24"/>
        </w:rPr>
      </w:pPr>
      <w:r w:rsidRPr="00006E71">
        <w:rPr>
          <w:rFonts w:ascii="Times New Roman" w:hAnsi="Times New Roman" w:cs="Times New Roman"/>
          <w:sz w:val="24"/>
          <w:szCs w:val="24"/>
        </w:rPr>
        <w:t>Z postępowania wyklucza się Wykonawców, którzy należącdo tej samej grupykapitałowej, w rozumieniu ustawy z dnia 16 lutego 2007r. o ochronie konkurencji i konsumentów (</w:t>
      </w:r>
      <w:proofErr w:type="spellStart"/>
      <w:r w:rsidRPr="00006E71">
        <w:rPr>
          <w:rFonts w:ascii="Times New Roman" w:hAnsi="Times New Roman" w:cs="Times New Roman"/>
          <w:sz w:val="24"/>
          <w:szCs w:val="24"/>
        </w:rPr>
        <w:t>Dz.U</w:t>
      </w:r>
      <w:proofErr w:type="spellEnd"/>
      <w:r w:rsidRPr="00006E71">
        <w:rPr>
          <w:rFonts w:ascii="Times New Roman" w:hAnsi="Times New Roman" w:cs="Times New Roman"/>
          <w:sz w:val="24"/>
          <w:szCs w:val="24"/>
        </w:rPr>
        <w:t xml:space="preserve">. z 2015r.poz.184, z </w:t>
      </w:r>
      <w:proofErr w:type="spellStart"/>
      <w:r w:rsidRPr="00006E71">
        <w:rPr>
          <w:rFonts w:ascii="Times New Roman" w:hAnsi="Times New Roman" w:cs="Times New Roman"/>
          <w:sz w:val="24"/>
          <w:szCs w:val="24"/>
        </w:rPr>
        <w:t>późn</w:t>
      </w:r>
      <w:proofErr w:type="spellEnd"/>
      <w:r w:rsidRPr="00006E71">
        <w:rPr>
          <w:rFonts w:ascii="Times New Roman" w:hAnsi="Times New Roman" w:cs="Times New Roman"/>
          <w:sz w:val="24"/>
          <w:szCs w:val="24"/>
        </w:rPr>
        <w:t>. zm.), złożyli odrębne oferty, oferty częściowe lub wnioski o dopuszczenie do udziału w postępowaniu chyba, że wykażą, że istniejące między nimi powiązania nie prowadzą do zakłócenia konkurencji w postępowaniu o udzielenie zamówienia.</w:t>
      </w:r>
    </w:p>
    <w:p w:rsidR="00DA7B3E" w:rsidRPr="00006E71" w:rsidRDefault="00DA7B3E" w:rsidP="00446FFD">
      <w:pPr>
        <w:autoSpaceDE w:val="0"/>
        <w:autoSpaceDN w:val="0"/>
        <w:adjustRightInd w:val="0"/>
        <w:spacing w:before="20" w:after="40" w:line="24" w:lineRule="atLeast"/>
        <w:jc w:val="both"/>
        <w:rPr>
          <w:rFonts w:ascii="Times New Roman" w:hAnsi="Times New Roman" w:cs="Times New Roman"/>
          <w:bCs/>
          <w:sz w:val="24"/>
          <w:szCs w:val="24"/>
        </w:rPr>
      </w:pPr>
    </w:p>
    <w:p w:rsidR="00DA7B3E" w:rsidRPr="00006E71" w:rsidRDefault="00DA7B3E" w:rsidP="00446FFD">
      <w:pPr>
        <w:numPr>
          <w:ilvl w:val="0"/>
          <w:numId w:val="3"/>
        </w:numPr>
        <w:autoSpaceDE w:val="0"/>
        <w:autoSpaceDN w:val="0"/>
        <w:adjustRightInd w:val="0"/>
        <w:spacing w:after="0" w:line="24" w:lineRule="atLeast"/>
        <w:ind w:left="567" w:hanging="567"/>
        <w:jc w:val="both"/>
        <w:rPr>
          <w:rFonts w:ascii="Times New Roman" w:hAnsi="Times New Roman" w:cs="Times New Roman"/>
          <w:sz w:val="24"/>
          <w:szCs w:val="24"/>
          <w:highlight w:val="white"/>
        </w:rPr>
      </w:pPr>
      <w:proofErr w:type="spellStart"/>
      <w:r w:rsidRPr="00006E71">
        <w:rPr>
          <w:rFonts w:ascii="Times New Roman" w:hAnsi="Times New Roman" w:cs="Times New Roman"/>
          <w:bCs/>
          <w:sz w:val="24"/>
          <w:szCs w:val="24"/>
          <w:highlight w:val="white"/>
          <w:lang w:val="en-US"/>
        </w:rPr>
        <w:t>Wykluczeniewykonawcynast</w:t>
      </w:r>
      <w:r w:rsidRPr="00006E71">
        <w:rPr>
          <w:rFonts w:ascii="Times New Roman" w:hAnsi="Times New Roman" w:cs="Times New Roman"/>
          <w:bCs/>
          <w:sz w:val="24"/>
          <w:szCs w:val="24"/>
          <w:highlight w:val="white"/>
        </w:rPr>
        <w:t>ępuje</w:t>
      </w:r>
      <w:proofErr w:type="spellEnd"/>
      <w:r w:rsidRPr="00006E71">
        <w:rPr>
          <w:rFonts w:ascii="Times New Roman" w:hAnsi="Times New Roman" w:cs="Times New Roman"/>
          <w:bCs/>
          <w:sz w:val="24"/>
          <w:szCs w:val="24"/>
          <w:highlight w:val="white"/>
        </w:rPr>
        <w:t>:</w:t>
      </w:r>
    </w:p>
    <w:p w:rsidR="00DA7B3E" w:rsidRPr="00006E71" w:rsidRDefault="00DA7B3E" w:rsidP="00446FFD">
      <w:pPr>
        <w:numPr>
          <w:ilvl w:val="0"/>
          <w:numId w:val="3"/>
        </w:numPr>
        <w:autoSpaceDE w:val="0"/>
        <w:autoSpaceDN w:val="0"/>
        <w:adjustRightInd w:val="0"/>
        <w:spacing w:after="0" w:line="24" w:lineRule="atLeast"/>
        <w:ind w:left="851" w:hanging="284"/>
        <w:jc w:val="both"/>
        <w:rPr>
          <w:rFonts w:ascii="Times New Roman" w:hAnsi="Times New Roman" w:cs="Times New Roman"/>
          <w:bCs/>
          <w:sz w:val="24"/>
          <w:szCs w:val="24"/>
          <w:highlight w:val="white"/>
        </w:rPr>
      </w:pPr>
      <w:r w:rsidRPr="00006E71">
        <w:rPr>
          <w:rFonts w:ascii="Times New Roman" w:hAnsi="Times New Roman" w:cs="Times New Roman"/>
          <w:bCs/>
          <w:sz w:val="24"/>
          <w:szCs w:val="24"/>
          <w:highlight w:val="white"/>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DA7B3E" w:rsidRPr="00006E71" w:rsidRDefault="00DA7B3E" w:rsidP="00446FFD">
      <w:pPr>
        <w:numPr>
          <w:ilvl w:val="0"/>
          <w:numId w:val="3"/>
        </w:numPr>
        <w:autoSpaceDE w:val="0"/>
        <w:autoSpaceDN w:val="0"/>
        <w:adjustRightInd w:val="0"/>
        <w:spacing w:after="0" w:line="24" w:lineRule="atLeast"/>
        <w:ind w:left="851" w:hanging="284"/>
        <w:jc w:val="both"/>
        <w:rPr>
          <w:rFonts w:ascii="Times New Roman" w:hAnsi="Times New Roman" w:cs="Times New Roman"/>
          <w:bCs/>
          <w:sz w:val="24"/>
          <w:szCs w:val="24"/>
          <w:highlight w:val="white"/>
        </w:rPr>
      </w:pPr>
      <w:r w:rsidRPr="00006E71">
        <w:rPr>
          <w:rFonts w:ascii="Times New Roman" w:hAnsi="Times New Roman" w:cs="Times New Roman"/>
          <w:bCs/>
          <w:sz w:val="24"/>
          <w:szCs w:val="24"/>
          <w:highlight w:val="white"/>
        </w:rPr>
        <w:t>w przypadkach, o których mowa:</w:t>
      </w:r>
    </w:p>
    <w:p w:rsidR="00DA7B3E" w:rsidRPr="00006E71" w:rsidRDefault="00DA7B3E" w:rsidP="00446FFD">
      <w:pPr>
        <w:numPr>
          <w:ilvl w:val="0"/>
          <w:numId w:val="3"/>
        </w:numPr>
        <w:autoSpaceDE w:val="0"/>
        <w:autoSpaceDN w:val="0"/>
        <w:adjustRightInd w:val="0"/>
        <w:spacing w:after="0" w:line="24" w:lineRule="atLeast"/>
        <w:ind w:left="1276" w:hanging="425"/>
        <w:jc w:val="both"/>
        <w:rPr>
          <w:rFonts w:ascii="Times New Roman" w:hAnsi="Times New Roman" w:cs="Times New Roman"/>
          <w:bCs/>
          <w:sz w:val="24"/>
          <w:szCs w:val="24"/>
          <w:highlight w:val="white"/>
        </w:rPr>
      </w:pPr>
      <w:r w:rsidRPr="00006E71">
        <w:rPr>
          <w:rFonts w:ascii="Times New Roman" w:hAnsi="Times New Roman" w:cs="Times New Roman"/>
          <w:bCs/>
          <w:sz w:val="24"/>
          <w:szCs w:val="24"/>
          <w:highlight w:val="white"/>
        </w:rPr>
        <w:t>w art. 24 ust. 1 pkt 13 lit. d i pkt 14, gdy osoba, o której mowa w tych przepisach, została skazana za przestępstwo wymienione w art. ust. 1 pkt 13 lit. d,</w:t>
      </w:r>
    </w:p>
    <w:p w:rsidR="00DA7B3E" w:rsidRPr="00006E71" w:rsidRDefault="00DA7B3E" w:rsidP="00446FFD">
      <w:pPr>
        <w:numPr>
          <w:ilvl w:val="0"/>
          <w:numId w:val="3"/>
        </w:numPr>
        <w:autoSpaceDE w:val="0"/>
        <w:autoSpaceDN w:val="0"/>
        <w:adjustRightInd w:val="0"/>
        <w:spacing w:after="0" w:line="24" w:lineRule="atLeast"/>
        <w:ind w:left="1276" w:hanging="425"/>
        <w:jc w:val="both"/>
        <w:rPr>
          <w:rFonts w:ascii="Times New Roman" w:hAnsi="Times New Roman" w:cs="Times New Roman"/>
          <w:bCs/>
          <w:sz w:val="24"/>
          <w:szCs w:val="24"/>
          <w:highlight w:val="white"/>
          <w:lang w:val="en-US"/>
        </w:rPr>
      </w:pPr>
      <w:r w:rsidRPr="00006E71">
        <w:rPr>
          <w:rFonts w:ascii="Times New Roman" w:hAnsi="Times New Roman" w:cs="Times New Roman"/>
          <w:bCs/>
          <w:sz w:val="24"/>
          <w:szCs w:val="24"/>
          <w:highlight w:val="white"/>
          <w:lang w:val="en-US"/>
        </w:rPr>
        <w:t xml:space="preserve">w art. 24 </w:t>
      </w:r>
      <w:proofErr w:type="spellStart"/>
      <w:r w:rsidRPr="00006E71">
        <w:rPr>
          <w:rFonts w:ascii="Times New Roman" w:hAnsi="Times New Roman" w:cs="Times New Roman"/>
          <w:bCs/>
          <w:sz w:val="24"/>
          <w:szCs w:val="24"/>
          <w:highlight w:val="white"/>
          <w:lang w:val="en-US"/>
        </w:rPr>
        <w:t>ust</w:t>
      </w:r>
      <w:proofErr w:type="spellEnd"/>
      <w:r w:rsidRPr="00006E71">
        <w:rPr>
          <w:rFonts w:ascii="Times New Roman" w:hAnsi="Times New Roman" w:cs="Times New Roman"/>
          <w:bCs/>
          <w:sz w:val="24"/>
          <w:szCs w:val="24"/>
          <w:highlight w:val="white"/>
          <w:lang w:val="en-US"/>
        </w:rPr>
        <w:t xml:space="preserve">. 1 </w:t>
      </w:r>
      <w:proofErr w:type="spellStart"/>
      <w:r w:rsidRPr="00006E71">
        <w:rPr>
          <w:rFonts w:ascii="Times New Roman" w:hAnsi="Times New Roman" w:cs="Times New Roman"/>
          <w:bCs/>
          <w:sz w:val="24"/>
          <w:szCs w:val="24"/>
          <w:highlight w:val="white"/>
          <w:lang w:val="en-US"/>
        </w:rPr>
        <w:t>pkt</w:t>
      </w:r>
      <w:proofErr w:type="spellEnd"/>
      <w:r w:rsidRPr="00006E71">
        <w:rPr>
          <w:rFonts w:ascii="Times New Roman" w:hAnsi="Times New Roman" w:cs="Times New Roman"/>
          <w:bCs/>
          <w:sz w:val="24"/>
          <w:szCs w:val="24"/>
          <w:highlight w:val="white"/>
          <w:lang w:val="en-US"/>
        </w:rPr>
        <w:t xml:space="preserve"> 15,</w:t>
      </w:r>
    </w:p>
    <w:p w:rsidR="00DA7B3E" w:rsidRPr="00006E71" w:rsidRDefault="00DA7B3E" w:rsidP="00446FFD">
      <w:pPr>
        <w:numPr>
          <w:ilvl w:val="0"/>
          <w:numId w:val="3"/>
        </w:numPr>
        <w:autoSpaceDE w:val="0"/>
        <w:autoSpaceDN w:val="0"/>
        <w:adjustRightInd w:val="0"/>
        <w:spacing w:after="0" w:line="24" w:lineRule="atLeast"/>
        <w:ind w:left="1134" w:hanging="283"/>
        <w:jc w:val="both"/>
        <w:rPr>
          <w:rFonts w:ascii="Times New Roman" w:hAnsi="Times New Roman" w:cs="Times New Roman"/>
          <w:bCs/>
          <w:sz w:val="24"/>
          <w:szCs w:val="24"/>
          <w:highlight w:val="white"/>
        </w:rPr>
      </w:pPr>
      <w:r w:rsidRPr="00006E71">
        <w:rPr>
          <w:rFonts w:ascii="Times New Roman" w:hAnsi="Times New Roman" w:cs="Times New Roman"/>
          <w:bCs/>
          <w:sz w:val="24"/>
          <w:szCs w:val="24"/>
          <w:highlight w:val="white"/>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DA7B3E" w:rsidRPr="00006E71" w:rsidRDefault="00DA7B3E" w:rsidP="00446FFD">
      <w:pPr>
        <w:numPr>
          <w:ilvl w:val="0"/>
          <w:numId w:val="3"/>
        </w:numPr>
        <w:autoSpaceDE w:val="0"/>
        <w:autoSpaceDN w:val="0"/>
        <w:adjustRightInd w:val="0"/>
        <w:spacing w:after="0" w:line="24" w:lineRule="atLeast"/>
        <w:ind w:left="851" w:hanging="284"/>
        <w:jc w:val="both"/>
        <w:rPr>
          <w:rFonts w:ascii="Times New Roman" w:hAnsi="Times New Roman" w:cs="Times New Roman"/>
          <w:bCs/>
          <w:sz w:val="24"/>
          <w:szCs w:val="24"/>
          <w:highlight w:val="white"/>
        </w:rPr>
      </w:pPr>
      <w:r w:rsidRPr="00006E71">
        <w:rPr>
          <w:rFonts w:ascii="Times New Roman" w:hAnsi="Times New Roman" w:cs="Times New Roman"/>
          <w:bCs/>
          <w:sz w:val="24"/>
          <w:szCs w:val="24"/>
          <w:highlight w:val="white"/>
        </w:rPr>
        <w:t>w przypadkach, o których mowa w art. 24 ust. 1 pkt 18 i 20 jeżeli nie upłynęły 3 lata od dnia zaistnienia zdarzenia będącego podstawą wykluczenia.</w:t>
      </w:r>
      <w:r w:rsidR="00E41CEC" w:rsidRPr="00006E71">
        <w:rPr>
          <w:rFonts w:ascii="Times New Roman" w:hAnsi="Times New Roman" w:cs="Times New Roman"/>
          <w:bCs/>
          <w:sz w:val="24"/>
          <w:szCs w:val="24"/>
          <w:highlight w:val="white"/>
        </w:rPr>
        <w:t>”</w:t>
      </w:r>
    </w:p>
    <w:p w:rsidR="00537B68" w:rsidRPr="00006E71" w:rsidRDefault="00537B68" w:rsidP="00446FFD">
      <w:pPr>
        <w:autoSpaceDE w:val="0"/>
        <w:autoSpaceDN w:val="0"/>
        <w:adjustRightInd w:val="0"/>
        <w:spacing w:after="0" w:line="24" w:lineRule="atLeast"/>
        <w:jc w:val="both"/>
        <w:rPr>
          <w:rFonts w:ascii="Times New Roman" w:hAnsi="Times New Roman" w:cs="Times New Roman"/>
          <w:bCs/>
          <w:sz w:val="24"/>
          <w:szCs w:val="24"/>
          <w:highlight w:val="white"/>
        </w:rPr>
      </w:pPr>
    </w:p>
    <w:p w:rsidR="00537B68" w:rsidRPr="00006E71" w:rsidRDefault="00537B68" w:rsidP="00446FFD">
      <w:pPr>
        <w:pStyle w:val="Akapitzlist"/>
        <w:widowControl w:val="0"/>
        <w:numPr>
          <w:ilvl w:val="0"/>
          <w:numId w:val="1"/>
        </w:numPr>
        <w:tabs>
          <w:tab w:val="num" w:pos="1069"/>
        </w:tabs>
        <w:overflowPunct w:val="0"/>
        <w:autoSpaceDE w:val="0"/>
        <w:autoSpaceDN w:val="0"/>
        <w:adjustRightInd w:val="0"/>
        <w:spacing w:after="0" w:line="24" w:lineRule="atLeast"/>
        <w:jc w:val="both"/>
        <w:rPr>
          <w:rFonts w:ascii="Times New Roman" w:hAnsi="Times New Roman" w:cs="Times New Roman"/>
          <w:b/>
          <w:sz w:val="24"/>
          <w:szCs w:val="24"/>
          <w:u w:val="single"/>
        </w:rPr>
      </w:pPr>
      <w:r w:rsidRPr="00006E71">
        <w:rPr>
          <w:rFonts w:ascii="Times New Roman" w:hAnsi="Times New Roman" w:cs="Times New Roman"/>
          <w:b/>
          <w:bCs/>
          <w:sz w:val="24"/>
          <w:szCs w:val="24"/>
          <w:highlight w:val="white"/>
        </w:rPr>
        <w:t xml:space="preserve">Rozdział VII pkt. 2 lit. b) otrzymuje brzmienie: </w:t>
      </w:r>
    </w:p>
    <w:p w:rsidR="00537B68" w:rsidRPr="00006E71" w:rsidRDefault="00537B68" w:rsidP="00446FFD">
      <w:pPr>
        <w:widowControl w:val="0"/>
        <w:numPr>
          <w:ilvl w:val="2"/>
          <w:numId w:val="5"/>
        </w:numPr>
        <w:tabs>
          <w:tab w:val="num" w:pos="709"/>
        </w:tabs>
        <w:overflowPunct w:val="0"/>
        <w:autoSpaceDE w:val="0"/>
        <w:autoSpaceDN w:val="0"/>
        <w:adjustRightInd w:val="0"/>
        <w:spacing w:after="0" w:line="24" w:lineRule="atLeast"/>
        <w:ind w:left="709" w:hanging="283"/>
        <w:jc w:val="both"/>
        <w:rPr>
          <w:rFonts w:ascii="Times New Roman" w:hAnsi="Times New Roman" w:cs="Times New Roman"/>
          <w:sz w:val="24"/>
          <w:szCs w:val="24"/>
          <w:u w:val="single"/>
        </w:rPr>
      </w:pPr>
      <w:r w:rsidRPr="00006E71">
        <w:rPr>
          <w:rFonts w:ascii="Times New Roman" w:hAnsi="Times New Roman" w:cs="Times New Roman"/>
          <w:bCs/>
          <w:sz w:val="24"/>
          <w:szCs w:val="24"/>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sporządzonych według wzoru stanowiącego </w:t>
      </w:r>
      <w:r w:rsidR="00613D33">
        <w:rPr>
          <w:rFonts w:ascii="Times New Roman" w:hAnsi="Times New Roman" w:cs="Times New Roman"/>
          <w:b/>
          <w:sz w:val="24"/>
          <w:szCs w:val="24"/>
        </w:rPr>
        <w:t xml:space="preserve">Załącznik Nr </w:t>
      </w:r>
      <w:r w:rsidR="00613D33" w:rsidRPr="00CB2746">
        <w:rPr>
          <w:rFonts w:ascii="Times New Roman" w:hAnsi="Times New Roman" w:cs="Times New Roman"/>
          <w:b/>
          <w:sz w:val="24"/>
          <w:szCs w:val="24"/>
        </w:rPr>
        <w:t>13</w:t>
      </w:r>
      <w:r w:rsidRPr="00006E71">
        <w:rPr>
          <w:rFonts w:ascii="Times New Roman" w:hAnsi="Times New Roman" w:cs="Times New Roman"/>
          <w:b/>
          <w:sz w:val="24"/>
          <w:szCs w:val="24"/>
        </w:rPr>
        <w:t xml:space="preserve"> do SIWZ</w:t>
      </w:r>
      <w:r w:rsidRPr="00006E71">
        <w:rPr>
          <w:rFonts w:ascii="Times New Roman" w:hAnsi="Times New Roman" w:cs="Times New Roman"/>
          <w:bCs/>
          <w:sz w:val="24"/>
          <w:szCs w:val="24"/>
        </w:rPr>
        <w:t>;</w:t>
      </w:r>
    </w:p>
    <w:p w:rsidR="00E41CEC" w:rsidRPr="00006E71" w:rsidRDefault="00E41CEC" w:rsidP="00446FFD">
      <w:pPr>
        <w:widowControl w:val="0"/>
        <w:overflowPunct w:val="0"/>
        <w:autoSpaceDE w:val="0"/>
        <w:autoSpaceDN w:val="0"/>
        <w:adjustRightInd w:val="0"/>
        <w:spacing w:line="24" w:lineRule="atLeast"/>
        <w:ind w:right="20"/>
        <w:jc w:val="both"/>
        <w:rPr>
          <w:rFonts w:ascii="Times New Roman" w:hAnsi="Times New Roman" w:cs="Times New Roman"/>
          <w:bCs/>
          <w:sz w:val="24"/>
          <w:szCs w:val="24"/>
          <w:highlight w:val="white"/>
        </w:rPr>
      </w:pPr>
    </w:p>
    <w:p w:rsidR="00E41CEC" w:rsidRPr="00006E71" w:rsidRDefault="00E41CEC" w:rsidP="00446FFD">
      <w:pPr>
        <w:pStyle w:val="Akapitzlist"/>
        <w:widowControl w:val="0"/>
        <w:numPr>
          <w:ilvl w:val="0"/>
          <w:numId w:val="1"/>
        </w:numPr>
        <w:overflowPunct w:val="0"/>
        <w:autoSpaceDE w:val="0"/>
        <w:autoSpaceDN w:val="0"/>
        <w:adjustRightInd w:val="0"/>
        <w:spacing w:line="24" w:lineRule="atLeast"/>
        <w:ind w:right="20"/>
        <w:jc w:val="both"/>
        <w:rPr>
          <w:rFonts w:ascii="Times New Roman" w:hAnsi="Times New Roman" w:cs="Times New Roman"/>
          <w:b/>
          <w:bCs/>
          <w:sz w:val="24"/>
          <w:szCs w:val="24"/>
        </w:rPr>
      </w:pPr>
      <w:r w:rsidRPr="00006E71">
        <w:rPr>
          <w:rFonts w:ascii="Times New Roman" w:hAnsi="Times New Roman" w:cs="Times New Roman"/>
          <w:b/>
          <w:bCs/>
          <w:sz w:val="24"/>
          <w:szCs w:val="24"/>
          <w:highlight w:val="white"/>
        </w:rPr>
        <w:t xml:space="preserve">Rozdział VII pkt. 6,  7, 8  otrzymuje brzmienie: </w:t>
      </w:r>
    </w:p>
    <w:p w:rsidR="00E41CEC" w:rsidRPr="00006E71" w:rsidRDefault="00E41CEC" w:rsidP="007853EF">
      <w:pPr>
        <w:widowControl w:val="0"/>
        <w:overflowPunct w:val="0"/>
        <w:autoSpaceDE w:val="0"/>
        <w:autoSpaceDN w:val="0"/>
        <w:adjustRightInd w:val="0"/>
        <w:spacing w:line="24" w:lineRule="atLeast"/>
        <w:ind w:left="360" w:right="20"/>
        <w:jc w:val="both"/>
        <w:rPr>
          <w:rFonts w:ascii="Times New Roman" w:hAnsi="Times New Roman" w:cs="Times New Roman"/>
          <w:sz w:val="24"/>
          <w:szCs w:val="24"/>
        </w:rPr>
      </w:pPr>
      <w:r w:rsidRPr="00006E71">
        <w:rPr>
          <w:rFonts w:ascii="Times New Roman" w:hAnsi="Times New Roman" w:cs="Times New Roman"/>
          <w:sz w:val="24"/>
          <w:szCs w:val="24"/>
        </w:rPr>
        <w:t xml:space="preserve">„6.Jeżeli Wykonawca ma siedzibę lub miejsce zamieszkania poza terytorium Rzeczypospolitej Polskiej, zamiast dokumentów, o których mowa w pkt </w:t>
      </w:r>
      <w:smartTag w:uri="urn:schemas-microsoft-com:office:smarttags" w:element="metricconverter">
        <w:smartTagPr>
          <w:attr w:name="ProductID" w:val="2 a"/>
        </w:smartTagPr>
        <w:r w:rsidRPr="00006E71">
          <w:rPr>
            <w:rFonts w:ascii="Times New Roman" w:hAnsi="Times New Roman" w:cs="Times New Roman"/>
            <w:sz w:val="24"/>
            <w:szCs w:val="24"/>
          </w:rPr>
          <w:t>2 a</w:t>
        </w:r>
      </w:smartTag>
      <w:r w:rsidRPr="00006E71">
        <w:rPr>
          <w:rFonts w:ascii="Times New Roman" w:hAnsi="Times New Roman" w:cs="Times New Roman"/>
          <w:sz w:val="24"/>
          <w:szCs w:val="24"/>
        </w:rPr>
        <w:t>), niniejszego rozdziału, składa dokument lub dokumenty, wystawione w kraju, w którym ma siedzibę lub miejsce zamieszkania, potwierdzające odpowiednio, że:</w:t>
      </w:r>
    </w:p>
    <w:p w:rsidR="00E41CEC" w:rsidRPr="00006E71" w:rsidRDefault="00E41CEC" w:rsidP="007853EF">
      <w:pPr>
        <w:widowControl w:val="0"/>
        <w:overflowPunct w:val="0"/>
        <w:autoSpaceDE w:val="0"/>
        <w:autoSpaceDN w:val="0"/>
        <w:adjustRightInd w:val="0"/>
        <w:spacing w:line="24" w:lineRule="atLeast"/>
        <w:ind w:right="20" w:firstLine="360"/>
        <w:jc w:val="both"/>
        <w:rPr>
          <w:rFonts w:ascii="Times New Roman" w:hAnsi="Times New Roman" w:cs="Times New Roman"/>
          <w:sz w:val="24"/>
          <w:szCs w:val="24"/>
        </w:rPr>
      </w:pPr>
      <w:r w:rsidRPr="00006E71">
        <w:rPr>
          <w:rFonts w:ascii="Times New Roman" w:hAnsi="Times New Roman" w:cs="Times New Roman"/>
          <w:sz w:val="24"/>
          <w:szCs w:val="24"/>
        </w:rPr>
        <w:t xml:space="preserve"> a) nie otwarto jego likwidacji ani nie ogłoszono upadłości</w:t>
      </w:r>
    </w:p>
    <w:p w:rsidR="00E41CEC" w:rsidRPr="00006E71" w:rsidRDefault="00E41CEC" w:rsidP="007853EF">
      <w:pPr>
        <w:widowControl w:val="0"/>
        <w:overflowPunct w:val="0"/>
        <w:autoSpaceDE w:val="0"/>
        <w:autoSpaceDN w:val="0"/>
        <w:adjustRightInd w:val="0"/>
        <w:spacing w:line="24" w:lineRule="atLeast"/>
        <w:ind w:left="360" w:right="20"/>
        <w:jc w:val="both"/>
        <w:rPr>
          <w:rFonts w:ascii="Times New Roman" w:hAnsi="Times New Roman" w:cs="Times New Roman"/>
          <w:sz w:val="24"/>
          <w:szCs w:val="24"/>
        </w:rPr>
      </w:pPr>
      <w:r w:rsidRPr="00006E71">
        <w:rPr>
          <w:rFonts w:ascii="Times New Roman" w:hAnsi="Times New Roman" w:cs="Times New Roman"/>
          <w:sz w:val="24"/>
          <w:szCs w:val="24"/>
        </w:rPr>
        <w:t xml:space="preserve">Dokument o którym mowa w rozdz. VII. 2a) powinien być wystawiony nie wcześniej niż 6 miesięcy przed upływem terminu składania ofert. </w:t>
      </w:r>
    </w:p>
    <w:p w:rsidR="00E41CEC" w:rsidRPr="00006E71" w:rsidRDefault="00E41CEC" w:rsidP="007853EF">
      <w:pPr>
        <w:widowControl w:val="0"/>
        <w:overflowPunct w:val="0"/>
        <w:autoSpaceDE w:val="0"/>
        <w:autoSpaceDN w:val="0"/>
        <w:adjustRightInd w:val="0"/>
        <w:spacing w:line="24" w:lineRule="atLeast"/>
        <w:ind w:left="360"/>
        <w:jc w:val="both"/>
        <w:rPr>
          <w:rFonts w:ascii="Times New Roman" w:hAnsi="Times New Roman" w:cs="Times New Roman"/>
          <w:sz w:val="24"/>
          <w:szCs w:val="24"/>
        </w:rPr>
      </w:pPr>
      <w:r w:rsidRPr="007853EF">
        <w:rPr>
          <w:rFonts w:ascii="Times New Roman" w:hAnsi="Times New Roman" w:cs="Times New Roman"/>
          <w:sz w:val="24"/>
          <w:szCs w:val="24"/>
        </w:rPr>
        <w:t>7</w:t>
      </w:r>
      <w:r w:rsidRPr="007853EF">
        <w:rPr>
          <w:rFonts w:ascii="Times New Roman" w:hAnsi="Times New Roman" w:cs="Times New Roman"/>
          <w:b/>
          <w:sz w:val="24"/>
          <w:szCs w:val="24"/>
        </w:rPr>
        <w:t>.</w:t>
      </w:r>
      <w:r w:rsidRPr="00006E71">
        <w:rPr>
          <w:rFonts w:ascii="Times New Roman" w:hAnsi="Times New Roman" w:cs="Times New Roman"/>
          <w:sz w:val="24"/>
          <w:szCs w:val="24"/>
        </w:rPr>
        <w:t>Dokumenty, o których mowa w rozdz. VII us</w:t>
      </w:r>
      <w:bookmarkStart w:id="0" w:name="_GoBack"/>
      <w:bookmarkEnd w:id="0"/>
      <w:r w:rsidRPr="00006E71">
        <w:rPr>
          <w:rFonts w:ascii="Times New Roman" w:hAnsi="Times New Roman" w:cs="Times New Roman"/>
          <w:sz w:val="24"/>
          <w:szCs w:val="24"/>
        </w:rPr>
        <w:t xml:space="preserve">t </w:t>
      </w:r>
      <w:smartTag w:uri="urn:schemas-microsoft-com:office:smarttags" w:element="metricconverter">
        <w:smartTagPr>
          <w:attr w:name="ProductID" w:val="2 a"/>
        </w:smartTagPr>
        <w:r w:rsidRPr="00006E71">
          <w:rPr>
            <w:rFonts w:ascii="Times New Roman" w:hAnsi="Times New Roman" w:cs="Times New Roman"/>
            <w:sz w:val="24"/>
            <w:szCs w:val="24"/>
          </w:rPr>
          <w:t>2 a</w:t>
        </w:r>
      </w:smartTag>
      <w:r w:rsidRPr="00006E71">
        <w:rPr>
          <w:rFonts w:ascii="Times New Roman" w:hAnsi="Times New Roman" w:cs="Times New Roman"/>
          <w:sz w:val="24"/>
          <w:szCs w:val="24"/>
        </w:rPr>
        <w:t xml:space="preserve">) składane  są w formie oryginału lub kopii poświadczonej za zgodność z oryginałem przez Wykonawcę </w:t>
      </w:r>
    </w:p>
    <w:p w:rsidR="00E41CEC" w:rsidRPr="00006E71" w:rsidRDefault="00E41CEC" w:rsidP="007853EF">
      <w:pPr>
        <w:widowControl w:val="0"/>
        <w:overflowPunct w:val="0"/>
        <w:autoSpaceDE w:val="0"/>
        <w:autoSpaceDN w:val="0"/>
        <w:adjustRightInd w:val="0"/>
        <w:spacing w:line="24" w:lineRule="atLeast"/>
        <w:ind w:left="360"/>
        <w:jc w:val="both"/>
        <w:rPr>
          <w:rFonts w:ascii="Times New Roman" w:hAnsi="Times New Roman" w:cs="Times New Roman"/>
          <w:sz w:val="24"/>
          <w:szCs w:val="24"/>
        </w:rPr>
      </w:pPr>
      <w:r w:rsidRPr="00006E71">
        <w:rPr>
          <w:rFonts w:ascii="Times New Roman" w:hAnsi="Times New Roman" w:cs="Times New Roman"/>
          <w:sz w:val="24"/>
          <w:szCs w:val="24"/>
        </w:rPr>
        <w:t>8.Jeżeli wykonawca nie złoży oświadczenia, o którym mowa w rozdz. VII. 1. niniejszej SIWZ, oświadczeń lub dokumentów potwierdzających okoliczności, o których mowa w art. 25 ust. 1 i 3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F37629" w:rsidRPr="00006E71" w:rsidRDefault="00F37629" w:rsidP="00F37629">
      <w:pPr>
        <w:autoSpaceDE w:val="0"/>
        <w:autoSpaceDN w:val="0"/>
        <w:adjustRightInd w:val="0"/>
        <w:jc w:val="both"/>
        <w:rPr>
          <w:rFonts w:ascii="Times New Roman" w:hAnsi="Times New Roman" w:cs="Times New Roman"/>
          <w:bCs/>
          <w:color w:val="000000"/>
          <w:sz w:val="24"/>
          <w:szCs w:val="24"/>
        </w:rPr>
      </w:pPr>
      <w:r w:rsidRPr="00C12B41">
        <w:rPr>
          <w:rFonts w:ascii="Times New Roman" w:hAnsi="Times New Roman" w:cs="Times New Roman"/>
          <w:b/>
          <w:bCs/>
          <w:color w:val="000000"/>
          <w:sz w:val="24"/>
          <w:szCs w:val="24"/>
        </w:rPr>
        <w:t>9.</w:t>
      </w:r>
      <w:r w:rsidRPr="00006E71">
        <w:rPr>
          <w:rFonts w:ascii="Times New Roman" w:hAnsi="Times New Roman" w:cs="Times New Roman"/>
          <w:bCs/>
          <w:color w:val="000000"/>
          <w:sz w:val="24"/>
          <w:szCs w:val="24"/>
        </w:rPr>
        <w:t xml:space="preserve"> Zmieniono termin składania ofert:  Oferty należy składać osobiście lub za pośrednictwem operatora pocztowego do dnia </w:t>
      </w:r>
      <w:r w:rsidRPr="00006E71">
        <w:rPr>
          <w:rFonts w:ascii="Times New Roman" w:hAnsi="Times New Roman" w:cs="Times New Roman"/>
          <w:b/>
          <w:bCs/>
          <w:color w:val="000000"/>
          <w:sz w:val="24"/>
          <w:szCs w:val="24"/>
        </w:rPr>
        <w:t>05 czerwca 2017</w:t>
      </w:r>
      <w:r w:rsidRPr="00006E71">
        <w:rPr>
          <w:rFonts w:ascii="Times New Roman" w:hAnsi="Times New Roman" w:cs="Times New Roman"/>
          <w:bCs/>
          <w:color w:val="000000"/>
          <w:sz w:val="24"/>
          <w:szCs w:val="24"/>
        </w:rPr>
        <w:t xml:space="preserve"> roku do godziny 10.00 w siedzibie Zamawiającego  sekretariat - pok.  Nr 13</w:t>
      </w:r>
      <w:r w:rsidRPr="00006E71">
        <w:rPr>
          <w:rFonts w:ascii="Times New Roman" w:hAnsi="Times New Roman" w:cs="Times New Roman"/>
          <w:bCs/>
          <w:sz w:val="24"/>
          <w:szCs w:val="24"/>
        </w:rPr>
        <w:t xml:space="preserve">  21-200 Parczew, ul. Piwonia 73.</w:t>
      </w:r>
    </w:p>
    <w:p w:rsidR="00F37629" w:rsidRPr="00006E71" w:rsidRDefault="00F37629" w:rsidP="00446FFD">
      <w:pPr>
        <w:widowControl w:val="0"/>
        <w:overflowPunct w:val="0"/>
        <w:autoSpaceDE w:val="0"/>
        <w:autoSpaceDN w:val="0"/>
        <w:adjustRightInd w:val="0"/>
        <w:spacing w:line="24" w:lineRule="atLeast"/>
        <w:jc w:val="both"/>
        <w:rPr>
          <w:rFonts w:ascii="Times New Roman" w:hAnsi="Times New Roman" w:cs="Times New Roman"/>
          <w:sz w:val="24"/>
          <w:szCs w:val="24"/>
        </w:rPr>
      </w:pPr>
      <w:r w:rsidRPr="00C12B41">
        <w:rPr>
          <w:rFonts w:ascii="Times New Roman" w:hAnsi="Times New Roman" w:cs="Times New Roman"/>
          <w:b/>
          <w:sz w:val="24"/>
          <w:szCs w:val="24"/>
        </w:rPr>
        <w:t>10.</w:t>
      </w:r>
      <w:r w:rsidRPr="00006E71">
        <w:rPr>
          <w:rFonts w:ascii="Times New Roman" w:hAnsi="Times New Roman" w:cs="Times New Roman"/>
          <w:sz w:val="24"/>
          <w:szCs w:val="24"/>
        </w:rPr>
        <w:t xml:space="preserve"> Zmieniono t</w:t>
      </w:r>
      <w:r w:rsidRPr="00006E71">
        <w:rPr>
          <w:rFonts w:ascii="Times New Roman" w:hAnsi="Times New Roman" w:cs="Times New Roman"/>
          <w:color w:val="000000"/>
          <w:sz w:val="24"/>
          <w:szCs w:val="24"/>
        </w:rPr>
        <w:t>ermin wniesienia wadium</w:t>
      </w:r>
      <w:r w:rsidRPr="00006E71">
        <w:rPr>
          <w:rFonts w:ascii="Times New Roman" w:hAnsi="Times New Roman" w:cs="Times New Roman"/>
          <w:b/>
          <w:color w:val="000000"/>
          <w:sz w:val="24"/>
          <w:szCs w:val="24"/>
        </w:rPr>
        <w:t xml:space="preserve"> – do godz. 10:00 dnia 05.06.2017 r.</w:t>
      </w:r>
    </w:p>
    <w:p w:rsidR="00537B68" w:rsidRPr="00006E71" w:rsidRDefault="00F37629" w:rsidP="00F37629">
      <w:pPr>
        <w:autoSpaceDE w:val="0"/>
        <w:autoSpaceDN w:val="0"/>
        <w:adjustRightInd w:val="0"/>
        <w:jc w:val="both"/>
        <w:rPr>
          <w:rFonts w:ascii="Times New Roman" w:hAnsi="Times New Roman" w:cs="Times New Roman"/>
          <w:bCs/>
          <w:color w:val="000000"/>
          <w:sz w:val="24"/>
          <w:szCs w:val="24"/>
        </w:rPr>
      </w:pPr>
      <w:r w:rsidRPr="00C12B41">
        <w:rPr>
          <w:rFonts w:ascii="Times New Roman" w:hAnsi="Times New Roman" w:cs="Times New Roman"/>
          <w:b/>
          <w:sz w:val="24"/>
          <w:szCs w:val="24"/>
        </w:rPr>
        <w:t>11</w:t>
      </w:r>
      <w:r w:rsidR="002E3D58" w:rsidRPr="00C12B41">
        <w:rPr>
          <w:rFonts w:ascii="Times New Roman" w:hAnsi="Times New Roman" w:cs="Times New Roman"/>
          <w:b/>
          <w:sz w:val="24"/>
          <w:szCs w:val="24"/>
        </w:rPr>
        <w:t>.</w:t>
      </w:r>
      <w:r w:rsidR="002E3D58" w:rsidRPr="00006E71">
        <w:rPr>
          <w:rFonts w:ascii="Times New Roman" w:hAnsi="Times New Roman" w:cs="Times New Roman"/>
          <w:bCs/>
          <w:color w:val="000000"/>
          <w:sz w:val="24"/>
          <w:szCs w:val="24"/>
        </w:rPr>
        <w:t xml:space="preserve">Otwarcie złożonych ofert nastąpi w dniu </w:t>
      </w:r>
      <w:r w:rsidR="002E3D58" w:rsidRPr="007853EF">
        <w:rPr>
          <w:rFonts w:ascii="Times New Roman" w:hAnsi="Times New Roman" w:cs="Times New Roman"/>
          <w:b/>
          <w:bCs/>
          <w:color w:val="000000"/>
          <w:sz w:val="24"/>
          <w:szCs w:val="24"/>
        </w:rPr>
        <w:t>5 czerwca 2017r</w:t>
      </w:r>
      <w:r w:rsidR="002E3D58" w:rsidRPr="00006E71">
        <w:rPr>
          <w:rFonts w:ascii="Times New Roman" w:hAnsi="Times New Roman" w:cs="Times New Roman"/>
          <w:bCs/>
          <w:color w:val="000000"/>
          <w:sz w:val="24"/>
          <w:szCs w:val="24"/>
        </w:rPr>
        <w:t xml:space="preserve">. o godzinie 10.15 w </w:t>
      </w:r>
      <w:r w:rsidRPr="00006E71">
        <w:rPr>
          <w:rFonts w:ascii="Times New Roman" w:hAnsi="Times New Roman" w:cs="Times New Roman"/>
          <w:bCs/>
          <w:color w:val="000000"/>
          <w:sz w:val="24"/>
          <w:szCs w:val="24"/>
        </w:rPr>
        <w:t>siedzibie Zamawiającego.</w:t>
      </w:r>
    </w:p>
    <w:p w:rsidR="001D0399" w:rsidRDefault="00F37629" w:rsidP="00F37629">
      <w:pPr>
        <w:widowControl w:val="0"/>
        <w:overflowPunct w:val="0"/>
        <w:autoSpaceDE w:val="0"/>
        <w:autoSpaceDN w:val="0"/>
        <w:adjustRightInd w:val="0"/>
        <w:spacing w:after="0" w:line="24" w:lineRule="atLeast"/>
        <w:jc w:val="both"/>
        <w:rPr>
          <w:rFonts w:ascii="Times New Roman" w:hAnsi="Times New Roman" w:cs="Times New Roman"/>
          <w:bCs/>
          <w:sz w:val="24"/>
          <w:szCs w:val="24"/>
        </w:rPr>
      </w:pPr>
      <w:r w:rsidRPr="00C12B41">
        <w:rPr>
          <w:rFonts w:ascii="Times New Roman" w:hAnsi="Times New Roman" w:cs="Times New Roman"/>
          <w:b/>
          <w:bCs/>
          <w:sz w:val="24"/>
          <w:szCs w:val="24"/>
          <w:highlight w:val="white"/>
        </w:rPr>
        <w:t>12.</w:t>
      </w:r>
      <w:r w:rsidR="001D0399" w:rsidRPr="00006E71">
        <w:rPr>
          <w:rFonts w:ascii="Times New Roman" w:hAnsi="Times New Roman" w:cs="Times New Roman"/>
          <w:bCs/>
          <w:sz w:val="24"/>
          <w:szCs w:val="24"/>
          <w:highlight w:val="white"/>
        </w:rPr>
        <w:t xml:space="preserve">Zamawiający w załączaniu zaktualizował SIWZ </w:t>
      </w:r>
      <w:r w:rsidR="00E2126B" w:rsidRPr="00006E71">
        <w:rPr>
          <w:rFonts w:ascii="Times New Roman" w:hAnsi="Times New Roman" w:cs="Times New Roman"/>
          <w:bCs/>
          <w:sz w:val="24"/>
          <w:szCs w:val="24"/>
          <w:highlight w:val="white"/>
        </w:rPr>
        <w:t xml:space="preserve">w </w:t>
      </w:r>
      <w:r w:rsidR="001D0399" w:rsidRPr="00006E71">
        <w:rPr>
          <w:rFonts w:ascii="Times New Roman" w:hAnsi="Times New Roman" w:cs="Times New Roman"/>
          <w:bCs/>
          <w:sz w:val="24"/>
          <w:szCs w:val="24"/>
          <w:highlight w:val="white"/>
        </w:rPr>
        <w:t>w/w zakresie.</w:t>
      </w:r>
    </w:p>
    <w:p w:rsidR="00916CED" w:rsidRDefault="00916CED" w:rsidP="00F37629">
      <w:pPr>
        <w:widowControl w:val="0"/>
        <w:overflowPunct w:val="0"/>
        <w:autoSpaceDE w:val="0"/>
        <w:autoSpaceDN w:val="0"/>
        <w:adjustRightInd w:val="0"/>
        <w:spacing w:after="0" w:line="24" w:lineRule="atLeast"/>
        <w:jc w:val="both"/>
        <w:rPr>
          <w:rFonts w:ascii="Times New Roman" w:hAnsi="Times New Roman" w:cs="Times New Roman"/>
          <w:bCs/>
          <w:sz w:val="24"/>
          <w:szCs w:val="24"/>
        </w:rPr>
      </w:pPr>
    </w:p>
    <w:p w:rsidR="00916CED" w:rsidRDefault="00916CED" w:rsidP="00F37629">
      <w:pPr>
        <w:widowControl w:val="0"/>
        <w:overflowPunct w:val="0"/>
        <w:autoSpaceDE w:val="0"/>
        <w:autoSpaceDN w:val="0"/>
        <w:adjustRightInd w:val="0"/>
        <w:spacing w:after="0" w:line="24" w:lineRule="atLeast"/>
        <w:jc w:val="both"/>
        <w:rPr>
          <w:rFonts w:ascii="Times New Roman" w:hAnsi="Times New Roman" w:cs="Times New Roman"/>
          <w:bCs/>
          <w:sz w:val="24"/>
          <w:szCs w:val="24"/>
        </w:rPr>
      </w:pPr>
    </w:p>
    <w:p w:rsidR="00916CED" w:rsidRDefault="00916CED" w:rsidP="00F37629">
      <w:pPr>
        <w:widowControl w:val="0"/>
        <w:overflowPunct w:val="0"/>
        <w:autoSpaceDE w:val="0"/>
        <w:autoSpaceDN w:val="0"/>
        <w:adjustRightInd w:val="0"/>
        <w:spacing w:after="0" w:line="24" w:lineRule="atLeast"/>
        <w:jc w:val="both"/>
        <w:rPr>
          <w:rFonts w:ascii="Times New Roman" w:hAnsi="Times New Roman" w:cs="Times New Roman"/>
          <w:bCs/>
          <w:sz w:val="24"/>
          <w:szCs w:val="24"/>
        </w:rPr>
      </w:pPr>
    </w:p>
    <w:p w:rsidR="00916CED" w:rsidRDefault="00916CED" w:rsidP="00F37629">
      <w:pPr>
        <w:widowControl w:val="0"/>
        <w:overflowPunct w:val="0"/>
        <w:autoSpaceDE w:val="0"/>
        <w:autoSpaceDN w:val="0"/>
        <w:adjustRightInd w:val="0"/>
        <w:spacing w:after="0" w:line="24" w:lineRule="atLeast"/>
        <w:jc w:val="both"/>
        <w:rPr>
          <w:rFonts w:ascii="Times New Roman" w:hAnsi="Times New Roman" w:cs="Times New Roman"/>
          <w:bCs/>
          <w:sz w:val="24"/>
          <w:szCs w:val="24"/>
        </w:rPr>
      </w:pPr>
    </w:p>
    <w:p w:rsidR="00916CED" w:rsidRPr="00006E71" w:rsidRDefault="00916CED" w:rsidP="00916CED">
      <w:pPr>
        <w:widowControl w:val="0"/>
        <w:overflowPunct w:val="0"/>
        <w:autoSpaceDE w:val="0"/>
        <w:autoSpaceDN w:val="0"/>
        <w:adjustRightInd w:val="0"/>
        <w:spacing w:after="0" w:line="24" w:lineRule="atLeast"/>
        <w:jc w:val="right"/>
        <w:rPr>
          <w:rFonts w:ascii="Times New Roman" w:hAnsi="Times New Roman" w:cs="Times New Roman"/>
          <w:sz w:val="24"/>
          <w:szCs w:val="24"/>
          <w:u w:val="single"/>
        </w:rPr>
      </w:pPr>
      <w:r>
        <w:rPr>
          <w:rFonts w:ascii="Times New Roman" w:hAnsi="Times New Roman" w:cs="Times New Roman"/>
          <w:bCs/>
          <w:sz w:val="24"/>
          <w:szCs w:val="24"/>
        </w:rPr>
        <w:t>Prezes Zarządu</w:t>
      </w:r>
      <w:r>
        <w:rPr>
          <w:rFonts w:ascii="Times New Roman" w:hAnsi="Times New Roman" w:cs="Times New Roman"/>
          <w:bCs/>
          <w:sz w:val="24"/>
          <w:szCs w:val="24"/>
        </w:rPr>
        <w:br/>
        <w:t>Marek Perliński</w:t>
      </w:r>
    </w:p>
    <w:sectPr w:rsidR="00916CED" w:rsidRPr="00006E71" w:rsidSect="00035B3D">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CED" w:rsidRDefault="00916CED" w:rsidP="00916CED">
      <w:pPr>
        <w:spacing w:after="0" w:line="240" w:lineRule="auto"/>
      </w:pPr>
      <w:r>
        <w:separator/>
      </w:r>
    </w:p>
  </w:endnote>
  <w:endnote w:type="continuationSeparator" w:id="1">
    <w:p w:rsidR="00916CED" w:rsidRDefault="00916CED" w:rsidP="00916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CED" w:rsidRDefault="00916CED" w:rsidP="00916CED">
      <w:pPr>
        <w:spacing w:after="0" w:line="240" w:lineRule="auto"/>
      </w:pPr>
      <w:r>
        <w:separator/>
      </w:r>
    </w:p>
  </w:footnote>
  <w:footnote w:type="continuationSeparator" w:id="1">
    <w:p w:rsidR="00916CED" w:rsidRDefault="00916CED" w:rsidP="00916C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ED" w:rsidRDefault="00916CED">
    <w:pPr>
      <w:pStyle w:val="Nagwek"/>
    </w:pPr>
    <w:r>
      <w:rPr>
        <w:noProof/>
        <w:lang w:eastAsia="pl-PL"/>
      </w:rPr>
      <w:drawing>
        <wp:inline distT="0" distB="0" distL="0" distR="0">
          <wp:extent cx="5760720" cy="886983"/>
          <wp:effectExtent l="19050" t="0" r="0" b="0"/>
          <wp:docPr id="1" name="Obraz 1" descr="Bez naz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nazwy"/>
                  <pic:cNvPicPr>
                    <a:picLocks noChangeAspect="1" noChangeArrowheads="1"/>
                  </pic:cNvPicPr>
                </pic:nvPicPr>
                <pic:blipFill>
                  <a:blip r:embed="rId1"/>
                  <a:srcRect l="1778"/>
                  <a:stretch>
                    <a:fillRect/>
                  </a:stretch>
                </pic:blipFill>
                <pic:spPr bwMode="auto">
                  <a:xfrm>
                    <a:off x="0" y="0"/>
                    <a:ext cx="5760720" cy="88698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568AA2"/>
    <w:lvl w:ilvl="0">
      <w:numFmt w:val="bullet"/>
      <w:lvlText w:val="*"/>
      <w:lvlJc w:val="left"/>
      <w:pPr>
        <w:ind w:left="0" w:firstLine="0"/>
      </w:pPr>
    </w:lvl>
  </w:abstractNum>
  <w:abstractNum w:abstractNumId="1">
    <w:nsid w:val="00005878"/>
    <w:multiLevelType w:val="hybridMultilevel"/>
    <w:tmpl w:val="00006B36"/>
    <w:lvl w:ilvl="0" w:tplc="00005CFD">
      <w:start w:val="2"/>
      <w:numFmt w:val="decimal"/>
      <w:lvlText w:val="%1."/>
      <w:lvlJc w:val="left"/>
      <w:pPr>
        <w:tabs>
          <w:tab w:val="num" w:pos="720"/>
        </w:tabs>
        <w:ind w:left="720" w:hanging="360"/>
      </w:pPr>
    </w:lvl>
    <w:lvl w:ilvl="1" w:tplc="00003E12">
      <w:start w:val="1"/>
      <w:numFmt w:val="decimal"/>
      <w:lvlText w:val="%2"/>
      <w:lvlJc w:val="left"/>
      <w:pPr>
        <w:tabs>
          <w:tab w:val="num" w:pos="1440"/>
        </w:tabs>
        <w:ind w:left="1440" w:hanging="360"/>
      </w:pPr>
    </w:lvl>
    <w:lvl w:ilvl="2" w:tplc="00001A49">
      <w:start w:val="1"/>
      <w:numFmt w:val="lowerLetter"/>
      <w:lvlText w:val="%3)"/>
      <w:lvlJc w:val="left"/>
      <w:pPr>
        <w:tabs>
          <w:tab w:val="num" w:pos="1069"/>
        </w:tabs>
        <w:ind w:left="1069" w:hanging="360"/>
      </w:pPr>
    </w:lvl>
    <w:lvl w:ilvl="3" w:tplc="00005F32">
      <w:start w:val="1"/>
      <w:numFmt w:val="decimal"/>
      <w:lvlText w:val="%4"/>
      <w:lvlJc w:val="left"/>
      <w:pPr>
        <w:tabs>
          <w:tab w:val="num" w:pos="2880"/>
        </w:tabs>
        <w:ind w:left="2880" w:hanging="360"/>
      </w:pPr>
    </w:lvl>
    <w:lvl w:ilvl="4" w:tplc="00003BF6">
      <w:start w:val="1"/>
      <w:numFmt w:val="bullet"/>
      <w:lvlText w:val="-"/>
      <w:lvlJc w:val="left"/>
      <w:pPr>
        <w:tabs>
          <w:tab w:val="num" w:pos="3600"/>
        </w:tabs>
        <w:ind w:left="3600" w:hanging="360"/>
      </w:pPr>
    </w:lvl>
    <w:lvl w:ilvl="5" w:tplc="00003A9E">
      <w:start w:val="1"/>
      <w:numFmt w:val="bullet"/>
      <w:lvlText w:val="-"/>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86145"/>
    <w:multiLevelType w:val="hybridMultilevel"/>
    <w:tmpl w:val="1124E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4D49A8"/>
    <w:multiLevelType w:val="hybridMultilevel"/>
    <w:tmpl w:val="8B965BCC"/>
    <w:lvl w:ilvl="0" w:tplc="8CC25B7E">
      <w:start w:val="1"/>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D5A6FE6"/>
    <w:multiLevelType w:val="multilevel"/>
    <w:tmpl w:val="000290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1F5230B"/>
    <w:multiLevelType w:val="hybridMultilevel"/>
    <w:tmpl w:val="ECBA4B6E"/>
    <w:lvl w:ilvl="0" w:tplc="8BA00A48">
      <w:start w:val="12"/>
      <w:numFmt w:val="decimal"/>
      <w:lvlText w:val="%1"/>
      <w:lvlJc w:val="left"/>
      <w:pPr>
        <w:ind w:left="72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815164"/>
    <w:rsid w:val="00006E71"/>
    <w:rsid w:val="000125C6"/>
    <w:rsid w:val="000157F9"/>
    <w:rsid w:val="00035B3D"/>
    <w:rsid w:val="001D0399"/>
    <w:rsid w:val="001E0684"/>
    <w:rsid w:val="0023351D"/>
    <w:rsid w:val="002E3D58"/>
    <w:rsid w:val="00320A64"/>
    <w:rsid w:val="00385C5B"/>
    <w:rsid w:val="003B5C23"/>
    <w:rsid w:val="003C1B54"/>
    <w:rsid w:val="003E4F2B"/>
    <w:rsid w:val="004341B7"/>
    <w:rsid w:val="00446FFD"/>
    <w:rsid w:val="00447D4C"/>
    <w:rsid w:val="0045669F"/>
    <w:rsid w:val="00483507"/>
    <w:rsid w:val="00495088"/>
    <w:rsid w:val="00537B68"/>
    <w:rsid w:val="00560F28"/>
    <w:rsid w:val="00565DFC"/>
    <w:rsid w:val="005B611F"/>
    <w:rsid w:val="005C2EB4"/>
    <w:rsid w:val="00613D33"/>
    <w:rsid w:val="00637A50"/>
    <w:rsid w:val="00722205"/>
    <w:rsid w:val="007853EF"/>
    <w:rsid w:val="007B4189"/>
    <w:rsid w:val="00801911"/>
    <w:rsid w:val="00815164"/>
    <w:rsid w:val="008246DE"/>
    <w:rsid w:val="008441BD"/>
    <w:rsid w:val="00895AFB"/>
    <w:rsid w:val="008C69EA"/>
    <w:rsid w:val="008D57B3"/>
    <w:rsid w:val="00902C78"/>
    <w:rsid w:val="0091635E"/>
    <w:rsid w:val="00916CED"/>
    <w:rsid w:val="00997F1B"/>
    <w:rsid w:val="00AE45A8"/>
    <w:rsid w:val="00B62663"/>
    <w:rsid w:val="00C10AC9"/>
    <w:rsid w:val="00C12B41"/>
    <w:rsid w:val="00C17CA7"/>
    <w:rsid w:val="00C5358A"/>
    <w:rsid w:val="00CB2746"/>
    <w:rsid w:val="00D3347C"/>
    <w:rsid w:val="00D505AD"/>
    <w:rsid w:val="00DA7B3E"/>
    <w:rsid w:val="00DB44C5"/>
    <w:rsid w:val="00E2126B"/>
    <w:rsid w:val="00E3011C"/>
    <w:rsid w:val="00E41CEC"/>
    <w:rsid w:val="00E565A4"/>
    <w:rsid w:val="00EB6F50"/>
    <w:rsid w:val="00ED5D7E"/>
    <w:rsid w:val="00EF2D73"/>
    <w:rsid w:val="00F37629"/>
    <w:rsid w:val="00FB4D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5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25C6"/>
    <w:pPr>
      <w:ind w:left="720"/>
      <w:contextualSpacing/>
    </w:pPr>
  </w:style>
  <w:style w:type="paragraph" w:styleId="Tekstpodstawowy">
    <w:name w:val="Body Text"/>
    <w:basedOn w:val="Normalny"/>
    <w:link w:val="TekstpodstawowyZnak"/>
    <w:rsid w:val="000125C6"/>
    <w:pPr>
      <w:spacing w:after="0" w:line="240" w:lineRule="auto"/>
      <w:jc w:val="both"/>
    </w:pPr>
    <w:rPr>
      <w:rFonts w:ascii="Arial" w:eastAsia="Times New Roman" w:hAnsi="Arial" w:cs="Times New Roman"/>
      <w:szCs w:val="20"/>
      <w:lang/>
    </w:rPr>
  </w:style>
  <w:style w:type="character" w:customStyle="1" w:styleId="TekstpodstawowyZnak">
    <w:name w:val="Tekst podstawowy Znak"/>
    <w:basedOn w:val="Domylnaczcionkaakapitu"/>
    <w:link w:val="Tekstpodstawowy"/>
    <w:rsid w:val="000125C6"/>
    <w:rPr>
      <w:rFonts w:ascii="Arial" w:eastAsia="Times New Roman" w:hAnsi="Arial" w:cs="Times New Roman"/>
      <w:szCs w:val="20"/>
      <w:lang/>
    </w:rPr>
  </w:style>
  <w:style w:type="character" w:styleId="Hipercze">
    <w:name w:val="Hyperlink"/>
    <w:rsid w:val="00DA7B3E"/>
    <w:rPr>
      <w:color w:val="0000FF"/>
      <w:u w:val="single"/>
    </w:rPr>
  </w:style>
  <w:style w:type="paragraph" w:styleId="Nagwek">
    <w:name w:val="header"/>
    <w:basedOn w:val="Normalny"/>
    <w:link w:val="NagwekZnak"/>
    <w:uiPriority w:val="99"/>
    <w:semiHidden/>
    <w:unhideWhenUsed/>
    <w:rsid w:val="00916C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16CED"/>
  </w:style>
  <w:style w:type="paragraph" w:styleId="Stopka">
    <w:name w:val="footer"/>
    <w:basedOn w:val="Normalny"/>
    <w:link w:val="StopkaZnak"/>
    <w:uiPriority w:val="99"/>
    <w:semiHidden/>
    <w:unhideWhenUsed/>
    <w:rsid w:val="00916CE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16CED"/>
  </w:style>
  <w:style w:type="paragraph" w:styleId="Tekstdymka">
    <w:name w:val="Balloon Text"/>
    <w:basedOn w:val="Normalny"/>
    <w:link w:val="TekstdymkaZnak"/>
    <w:uiPriority w:val="99"/>
    <w:semiHidden/>
    <w:unhideWhenUsed/>
    <w:rsid w:val="00916C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6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25C6"/>
    <w:pPr>
      <w:ind w:left="720"/>
      <w:contextualSpacing/>
    </w:pPr>
  </w:style>
  <w:style w:type="paragraph" w:styleId="Tekstpodstawowy">
    <w:name w:val="Body Text"/>
    <w:basedOn w:val="Normalny"/>
    <w:link w:val="TekstpodstawowyZnak"/>
    <w:rsid w:val="000125C6"/>
    <w:pPr>
      <w:spacing w:after="0" w:line="240" w:lineRule="auto"/>
      <w:jc w:val="both"/>
    </w:pPr>
    <w:rPr>
      <w:rFonts w:ascii="Arial" w:eastAsia="Times New Roman" w:hAnsi="Arial" w:cs="Times New Roman"/>
      <w:szCs w:val="20"/>
      <w:lang w:val="x-none" w:eastAsia="x-none"/>
    </w:rPr>
  </w:style>
  <w:style w:type="character" w:customStyle="1" w:styleId="TekstpodstawowyZnak">
    <w:name w:val="Tekst podstawowy Znak"/>
    <w:basedOn w:val="Domylnaczcionkaakapitu"/>
    <w:link w:val="Tekstpodstawowy"/>
    <w:rsid w:val="000125C6"/>
    <w:rPr>
      <w:rFonts w:ascii="Arial" w:eastAsia="Times New Roman" w:hAnsi="Arial" w:cs="Times New Roman"/>
      <w:szCs w:val="20"/>
      <w:lang w:val="x-none" w:eastAsia="x-none"/>
    </w:rPr>
  </w:style>
  <w:style w:type="character" w:styleId="Hipercze">
    <w:name w:val="Hyperlink"/>
    <w:rsid w:val="00DA7B3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9017</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Kazanowski</dc:creator>
  <cp:lastModifiedBy>GrzegorzKas</cp:lastModifiedBy>
  <cp:revision>4</cp:revision>
  <dcterms:created xsi:type="dcterms:W3CDTF">2017-05-25T07:06:00Z</dcterms:created>
  <dcterms:modified xsi:type="dcterms:W3CDTF">2017-05-26T09:16:00Z</dcterms:modified>
</cp:coreProperties>
</file>